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00" w:type="dxa"/>
        <w:jc w:val="center"/>
        <w:tblCellSpacing w:w="0" w:type="dxa"/>
        <w:tblCellMar>
          <w:left w:w="0" w:type="dxa"/>
          <w:right w:w="0" w:type="dxa"/>
        </w:tblCellMar>
        <w:tblLook w:val="04A0" w:firstRow="1" w:lastRow="0" w:firstColumn="1" w:lastColumn="0" w:noHBand="0" w:noVBand="1"/>
      </w:tblPr>
      <w:tblGrid>
        <w:gridCol w:w="10500"/>
      </w:tblGrid>
      <w:tr w:rsidR="00FA4EEA" w14:paraId="410342D4" w14:textId="77777777" w:rsidTr="00FA4EEA">
        <w:trPr>
          <w:tblCellSpacing w:w="0" w:type="dxa"/>
          <w:jc w:val="center"/>
        </w:trPr>
        <w:tc>
          <w:tcPr>
            <w:tcW w:w="0" w:type="auto"/>
            <w:vAlign w:val="center"/>
            <w:hideMark/>
          </w:tcPr>
          <w:p w14:paraId="37336951" w14:textId="0019C1FF" w:rsidR="00FA4EEA" w:rsidRDefault="00FA4EEA">
            <w:pPr>
              <w:jc w:val="center"/>
              <w:rPr>
                <w:rFonts w:eastAsia="Times New Roman"/>
              </w:rPr>
            </w:pPr>
            <w:r>
              <w:rPr>
                <w:rFonts w:eastAsia="Times New Roman"/>
                <w:noProof/>
              </w:rPr>
              <w:drawing>
                <wp:inline distT="0" distB="0" distL="0" distR="0" wp14:anchorId="537997DA" wp14:editId="5921C89B">
                  <wp:extent cx="5943600" cy="1188720"/>
                  <wp:effectExtent l="0" t="0" r="0" b="0"/>
                  <wp:docPr id="2" name="Picture 2" descr="Notes from Office of the Provost at Purchase College, SUNY header with purple text on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tes from Office of the Provost at Purchase College, SUNY header with purple text on white backgroun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188720"/>
                          </a:xfrm>
                          <a:prstGeom prst="rect">
                            <a:avLst/>
                          </a:prstGeom>
                          <a:noFill/>
                          <a:ln>
                            <a:noFill/>
                          </a:ln>
                        </pic:spPr>
                      </pic:pic>
                    </a:graphicData>
                  </a:graphic>
                </wp:inline>
              </w:drawing>
            </w:r>
          </w:p>
          <w:tbl>
            <w:tblPr>
              <w:tblW w:w="10500" w:type="dxa"/>
              <w:jc w:val="center"/>
              <w:tblCellSpacing w:w="15" w:type="dxa"/>
              <w:shd w:val="clear" w:color="auto" w:fill="FFFFFF"/>
              <w:tblLook w:val="04A0" w:firstRow="1" w:lastRow="0" w:firstColumn="1" w:lastColumn="0" w:noHBand="0" w:noVBand="1"/>
            </w:tblPr>
            <w:tblGrid>
              <w:gridCol w:w="10500"/>
            </w:tblGrid>
            <w:tr w:rsidR="00FA4EEA" w14:paraId="4BF7583C" w14:textId="77777777">
              <w:trPr>
                <w:tblCellSpacing w:w="15" w:type="dxa"/>
                <w:jc w:val="center"/>
              </w:trPr>
              <w:tc>
                <w:tcPr>
                  <w:tcW w:w="0" w:type="auto"/>
                  <w:shd w:val="clear" w:color="auto" w:fill="FFFFFF"/>
                  <w:tcMar>
                    <w:top w:w="15" w:type="dxa"/>
                    <w:left w:w="15" w:type="dxa"/>
                    <w:bottom w:w="15" w:type="dxa"/>
                    <w:right w:w="15" w:type="dxa"/>
                  </w:tcMar>
                  <w:vAlign w:val="center"/>
                  <w:hideMark/>
                </w:tcPr>
                <w:p w14:paraId="4A5C24AA" w14:textId="77777777" w:rsidR="00FA4EEA" w:rsidRDefault="00FA4EEA">
                  <w:pPr>
                    <w:rPr>
                      <w:rFonts w:eastAsia="Times New Roman"/>
                    </w:rPr>
                  </w:pPr>
                </w:p>
              </w:tc>
            </w:tr>
            <w:tr w:rsidR="00FA4EEA" w14:paraId="33A62588" w14:textId="77777777">
              <w:trPr>
                <w:tblCellSpacing w:w="15" w:type="dxa"/>
                <w:jc w:val="center"/>
              </w:trPr>
              <w:tc>
                <w:tcPr>
                  <w:tcW w:w="0" w:type="auto"/>
                  <w:shd w:val="clear" w:color="auto" w:fill="FFFFFF"/>
                  <w:tcMar>
                    <w:top w:w="15" w:type="dxa"/>
                    <w:left w:w="15" w:type="dxa"/>
                    <w:bottom w:w="15" w:type="dxa"/>
                    <w:right w:w="15" w:type="dxa"/>
                  </w:tcMar>
                  <w:vAlign w:val="center"/>
                  <w:hideMark/>
                </w:tcPr>
                <w:tbl>
                  <w:tblPr>
                    <w:tblW w:w="5000" w:type="pct"/>
                    <w:tblCellSpacing w:w="75" w:type="dxa"/>
                    <w:tblCellMar>
                      <w:top w:w="150" w:type="dxa"/>
                      <w:left w:w="150" w:type="dxa"/>
                      <w:bottom w:w="150" w:type="dxa"/>
                      <w:right w:w="150" w:type="dxa"/>
                    </w:tblCellMar>
                    <w:tblLook w:val="04A0" w:firstRow="1" w:lastRow="0" w:firstColumn="1" w:lastColumn="0" w:noHBand="0" w:noVBand="1"/>
                  </w:tblPr>
                  <w:tblGrid>
                    <w:gridCol w:w="10410"/>
                  </w:tblGrid>
                  <w:tr w:rsidR="00FA4EEA" w14:paraId="7CC0B87E" w14:textId="77777777">
                    <w:trPr>
                      <w:tblCellSpacing w:w="75" w:type="dxa"/>
                    </w:trPr>
                    <w:tc>
                      <w:tcPr>
                        <w:tcW w:w="0" w:type="auto"/>
                        <w:vAlign w:val="center"/>
                        <w:hideMark/>
                      </w:tcPr>
                      <w:p w14:paraId="6B00E4C3" w14:textId="77777777" w:rsidR="00FA4EEA" w:rsidRDefault="00FA4EEA">
                        <w:pPr>
                          <w:pStyle w:val="NormalWeb"/>
                          <w:rPr>
                            <w:sz w:val="28"/>
                            <w:szCs w:val="28"/>
                          </w:rPr>
                        </w:pPr>
                        <w:r>
                          <w:rPr>
                            <w:rStyle w:val="Strong"/>
                            <w:rFonts w:ascii="Calibri" w:hAnsi="Calibri" w:cs="Calibri"/>
                            <w:sz w:val="28"/>
                            <w:szCs w:val="28"/>
                          </w:rPr>
                          <w:t>The Spring Semester in Review</w:t>
                        </w:r>
                      </w:p>
                      <w:p w14:paraId="1C550D6B" w14:textId="77777777" w:rsidR="00FA4EEA" w:rsidRDefault="00FA4EEA">
                        <w:pPr>
                          <w:pStyle w:val="NormalWeb"/>
                          <w:rPr>
                            <w:rFonts w:ascii="Calibri" w:hAnsi="Calibri" w:cs="Calibri"/>
                          </w:rPr>
                        </w:pPr>
                        <w:r>
                          <w:rPr>
                            <w:rFonts w:ascii="Calibri" w:hAnsi="Calibri" w:cs="Calibri"/>
                            <w:sz w:val="28"/>
                            <w:szCs w:val="28"/>
                          </w:rPr>
                          <w:t>The spring semester at Purchase College was marked by visible, concrete achievements in teaching, scholarship, creative practice, and public engagement. Across all schools, faculty, students, and alumni advanced the College’s mission through nationally recognized work, high-impact learning experiences, and deep connections to professional fields and community partners.</w:t>
                        </w:r>
                      </w:p>
                      <w:p w14:paraId="05F09006" w14:textId="77777777" w:rsidR="00FA4EEA" w:rsidRDefault="00FA4EEA">
                        <w:pPr>
                          <w:pStyle w:val="NormalWeb"/>
                          <w:rPr>
                            <w:rFonts w:ascii="Calibri" w:hAnsi="Calibri" w:cs="Calibri"/>
                            <w:sz w:val="28"/>
                            <w:szCs w:val="28"/>
                          </w:rPr>
                        </w:pPr>
                        <w:r>
                          <w:rPr>
                            <w:rFonts w:ascii="Calibri" w:hAnsi="Calibri" w:cs="Calibri"/>
                            <w:sz w:val="28"/>
                            <w:szCs w:val="28"/>
                          </w:rPr>
                          <w:t xml:space="preserve">Faculty distinguished Purchase through specific scholarly and creative accomplishments. Humanities faculty published major books and essays, including Jessica Levy’s </w:t>
                        </w:r>
                        <w:r>
                          <w:rPr>
                            <w:rStyle w:val="Emphasis"/>
                            <w:rFonts w:ascii="Calibri" w:hAnsi="Calibri" w:cs="Calibri"/>
                            <w:sz w:val="28"/>
                            <w:szCs w:val="28"/>
                          </w:rPr>
                          <w:t>Black Power, Inc.</w:t>
                        </w:r>
                        <w:r>
                          <w:rPr>
                            <w:rFonts w:ascii="Calibri" w:hAnsi="Calibri" w:cs="Calibri"/>
                            <w:sz w:val="28"/>
                            <w:szCs w:val="28"/>
                          </w:rPr>
                          <w:t xml:space="preserve"> (University of Pennsylvania Press) and Monica Ferrell’s poetry collection </w:t>
                        </w:r>
                        <w:r>
                          <w:rPr>
                            <w:rStyle w:val="Emphasis"/>
                            <w:rFonts w:ascii="Calibri" w:hAnsi="Calibri" w:cs="Calibri"/>
                            <w:sz w:val="28"/>
                            <w:szCs w:val="28"/>
                          </w:rPr>
                          <w:t>The Future,</w:t>
                        </w:r>
                        <w:r>
                          <w:rPr>
                            <w:rFonts w:ascii="Calibri" w:hAnsi="Calibri" w:cs="Calibri"/>
                            <w:sz w:val="28"/>
                            <w:szCs w:val="28"/>
                          </w:rPr>
                          <w:t xml:space="preserve"> while Elise Lemire appeared as a featured scholar on the Ken Burns–produced PBS series </w:t>
                        </w:r>
                        <w:r>
                          <w:rPr>
                            <w:rStyle w:val="Emphasis"/>
                            <w:rFonts w:ascii="Calibri" w:hAnsi="Calibri" w:cs="Calibri"/>
                            <w:sz w:val="28"/>
                            <w:szCs w:val="28"/>
                          </w:rPr>
                          <w:t>Henry David Thoreau</w:t>
                        </w:r>
                        <w:r>
                          <w:rPr>
                            <w:rFonts w:ascii="Calibri" w:hAnsi="Calibri" w:cs="Calibri"/>
                            <w:sz w:val="28"/>
                            <w:szCs w:val="28"/>
                          </w:rPr>
                          <w:t xml:space="preserve">. </w:t>
                        </w:r>
                        <w:proofErr w:type="spellStart"/>
                        <w:r>
                          <w:rPr>
                            <w:rFonts w:ascii="Calibri" w:hAnsi="Calibri" w:cs="Calibri"/>
                            <w:sz w:val="28"/>
                            <w:szCs w:val="28"/>
                          </w:rPr>
                          <w:t>Art+Design</w:t>
                        </w:r>
                        <w:proofErr w:type="spellEnd"/>
                        <w:r>
                          <w:rPr>
                            <w:rFonts w:ascii="Calibri" w:hAnsi="Calibri" w:cs="Calibri"/>
                            <w:sz w:val="28"/>
                            <w:szCs w:val="28"/>
                          </w:rPr>
                          <w:t xml:space="preserve"> faculty mounted exhibitions at venues such as Bookstein Projects, </w:t>
                        </w:r>
                        <w:proofErr w:type="spellStart"/>
                        <w:r>
                          <w:rPr>
                            <w:rFonts w:ascii="Calibri" w:hAnsi="Calibri" w:cs="Calibri"/>
                            <w:sz w:val="28"/>
                            <w:szCs w:val="28"/>
                          </w:rPr>
                          <w:t>Petzel</w:t>
                        </w:r>
                        <w:proofErr w:type="spellEnd"/>
                        <w:r>
                          <w:rPr>
                            <w:rFonts w:ascii="Calibri" w:hAnsi="Calibri" w:cs="Calibri"/>
                            <w:sz w:val="28"/>
                            <w:szCs w:val="28"/>
                          </w:rPr>
                          <w:t xml:space="preserve"> Gallery, and </w:t>
                        </w:r>
                        <w:proofErr w:type="spellStart"/>
                        <w:r>
                          <w:rPr>
                            <w:rFonts w:ascii="Calibri" w:hAnsi="Calibri" w:cs="Calibri"/>
                            <w:sz w:val="28"/>
                            <w:szCs w:val="28"/>
                          </w:rPr>
                          <w:t>Whetlab</w:t>
                        </w:r>
                        <w:proofErr w:type="spellEnd"/>
                        <w:r>
                          <w:rPr>
                            <w:rFonts w:ascii="Calibri" w:hAnsi="Calibri" w:cs="Calibri"/>
                            <w:sz w:val="28"/>
                            <w:szCs w:val="28"/>
                          </w:rPr>
                          <w:t xml:space="preserve">, and Dance and Theatre faculty performed and designed work for major companies and Broadway productions, with Conservatory of Theatre Arts faculty and alumna Jen Schriever recently earning a Tony nomination for her lighting design on </w:t>
                        </w:r>
                        <w:r>
                          <w:rPr>
                            <w:rStyle w:val="Emphasis"/>
                            <w:rFonts w:ascii="Calibri" w:hAnsi="Calibri" w:cs="Calibri"/>
                            <w:sz w:val="28"/>
                            <w:szCs w:val="28"/>
                          </w:rPr>
                          <w:t>The Lost Boys. </w:t>
                        </w:r>
                        <w:r>
                          <w:rPr>
                            <w:rFonts w:ascii="Calibri" w:hAnsi="Calibri" w:cs="Calibri"/>
                            <w:sz w:val="28"/>
                            <w:szCs w:val="28"/>
                          </w:rPr>
                          <w:t xml:space="preserve">These are just a few examples of faculty excellence. </w:t>
                        </w:r>
                      </w:p>
                      <w:p w14:paraId="78D1FAF6" w14:textId="77777777" w:rsidR="00FA4EEA" w:rsidRDefault="00FA4EEA">
                        <w:pPr>
                          <w:pStyle w:val="NormalWeb"/>
                          <w:rPr>
                            <w:rFonts w:ascii="Calibri" w:hAnsi="Calibri" w:cs="Calibri"/>
                            <w:sz w:val="28"/>
                            <w:szCs w:val="28"/>
                          </w:rPr>
                        </w:pPr>
                        <w:r>
                          <w:rPr>
                            <w:rFonts w:ascii="Calibri" w:hAnsi="Calibri" w:cs="Calibri"/>
                            <w:sz w:val="28"/>
                            <w:szCs w:val="28"/>
                          </w:rPr>
                          <w:t>Experiential learning remained central to the Purchase academic experience. Students curated exhibitions and processed archives at the Neuberger Museum, worked in Einstein Corner and discipline-specific tutoring programs, completed internships for academic credit, and participated in professional productions, masterclasses, and workshops. Study abroad and global learning expanded with faculty-led programs in Italy, Benin, Turkey, Northern Ireland, and Honduras, and with exchange partnerships that brought students and faculty together from institutions in France, Austria, Japan, and Ireland.</w:t>
                        </w:r>
                      </w:p>
                      <w:p w14:paraId="2A95A5D5" w14:textId="77777777" w:rsidR="00FA4EEA" w:rsidRDefault="00FA4EEA">
                        <w:pPr>
                          <w:pStyle w:val="NormalWeb"/>
                          <w:rPr>
                            <w:rFonts w:ascii="Calibri" w:hAnsi="Calibri" w:cs="Calibri"/>
                            <w:sz w:val="28"/>
                            <w:szCs w:val="28"/>
                          </w:rPr>
                        </w:pPr>
                        <w:r>
                          <w:rPr>
                            <w:rFonts w:ascii="Calibri" w:hAnsi="Calibri" w:cs="Calibri"/>
                            <w:sz w:val="28"/>
                            <w:szCs w:val="28"/>
                          </w:rPr>
                          <w:t xml:space="preserve">Alumni engagement directly strengthened career readiness across disciplines. Alumni returned to campus as guest artists, instructors, mentors, and workshop leaders, including Grammy-winning Samara Joy, Oscar-winning film editor Andrew Buckman in Film &amp; Media Studies, and Broadway professionals working with Theatre and Design/Technology students. Alumni success stories remain closely connected to student preparation at Purchase, with graduates advancing to top MFA and </w:t>
                        </w:r>
                        <w:r>
                          <w:rPr>
                            <w:rFonts w:ascii="Calibri" w:hAnsi="Calibri" w:cs="Calibri"/>
                            <w:sz w:val="28"/>
                            <w:szCs w:val="28"/>
                          </w:rPr>
                          <w:lastRenderedPageBreak/>
                          <w:t xml:space="preserve">journalism programs, securing roles in media, arts, education, and public service, and returning to support students through mentoring and philanthropy. </w:t>
                        </w:r>
                      </w:p>
                      <w:p w14:paraId="4A079699" w14:textId="77777777" w:rsidR="00FA4EEA" w:rsidRDefault="00FA4EEA">
                        <w:pPr>
                          <w:pStyle w:val="NormalWeb"/>
                          <w:rPr>
                            <w:rFonts w:ascii="Calibri" w:hAnsi="Calibri" w:cs="Calibri"/>
                            <w:sz w:val="28"/>
                            <w:szCs w:val="28"/>
                          </w:rPr>
                        </w:pPr>
                        <w:r>
                          <w:rPr>
                            <w:rFonts w:ascii="Calibri" w:hAnsi="Calibri" w:cs="Calibri"/>
                            <w:sz w:val="28"/>
                            <w:szCs w:val="28"/>
                          </w:rPr>
                          <w:t xml:space="preserve">Purchase also strengthened its role as a cultural and intellectual hub. The Performing Arts Center hosted more than 100 events and welcomed over 19,000 visitors, generating significant revenue growth and expanding regional visibility. The Neuberger Museum engaged more than 1,300 K–12 students through guided tours and access programs, hosted major exhibitions such as </w:t>
                        </w:r>
                        <w:r>
                          <w:rPr>
                            <w:rStyle w:val="Emphasis"/>
                            <w:rFonts w:ascii="Calibri" w:hAnsi="Calibri" w:cs="Calibri"/>
                            <w:sz w:val="28"/>
                            <w:szCs w:val="28"/>
                          </w:rPr>
                          <w:t>Guerrilla Girls: Forty Years Ago</w:t>
                        </w:r>
                        <w:r>
                          <w:rPr>
                            <w:rFonts w:ascii="Calibri" w:hAnsi="Calibri" w:cs="Calibri"/>
                            <w:sz w:val="28"/>
                            <w:szCs w:val="28"/>
                          </w:rPr>
                          <w:t xml:space="preserve">, and expanded intergenerational programming for adult learners. </w:t>
                        </w:r>
                      </w:p>
                      <w:p w14:paraId="20294A98" w14:textId="77777777" w:rsidR="00FA4EEA" w:rsidRDefault="00FA4EEA">
                        <w:pPr>
                          <w:pStyle w:val="NormalWeb"/>
                          <w:rPr>
                            <w:rFonts w:ascii="Calibri" w:hAnsi="Calibri" w:cs="Calibri"/>
                          </w:rPr>
                        </w:pPr>
                        <w:r>
                          <w:rPr>
                            <w:rFonts w:ascii="Calibri" w:hAnsi="Calibri" w:cs="Calibri"/>
                            <w:sz w:val="28"/>
                            <w:szCs w:val="28"/>
                          </w:rPr>
                          <w:t>Overall, the 2025–2026 academic year demonstrates the tangible strengths of Purchase College: faculty excellence evidenced through nationally visible work, students producing professional-level scholarship and creative practice, and alumni actively reinforcing career pathways. Together, these efforts position Purchase to continue delivering a rigorous, distinctive academic experience with lasting impact.</w:t>
                        </w:r>
                      </w:p>
                      <w:p w14:paraId="6B1F68FB" w14:textId="77777777" w:rsidR="00FA4EEA" w:rsidRDefault="00FA4EEA">
                        <w:pPr>
                          <w:rPr>
                            <w:rFonts w:eastAsia="Times New Roman"/>
                          </w:rPr>
                        </w:pPr>
                        <w:r>
                          <w:rPr>
                            <w:rFonts w:eastAsia="Times New Roman"/>
                          </w:rPr>
                          <w:t> </w:t>
                        </w:r>
                      </w:p>
                      <w:p w14:paraId="2F0B5521" w14:textId="77777777" w:rsidR="00FA4EEA" w:rsidRDefault="00FA4EEA">
                        <w:pPr>
                          <w:rPr>
                            <w:rFonts w:ascii="Calibri" w:eastAsia="Times New Roman" w:hAnsi="Calibri" w:cs="Calibri"/>
                            <w:sz w:val="28"/>
                            <w:szCs w:val="28"/>
                          </w:rPr>
                        </w:pPr>
                        <w:r>
                          <w:rPr>
                            <w:rStyle w:val="Strong"/>
                            <w:rFonts w:ascii="Calibri" w:eastAsia="Times New Roman" w:hAnsi="Calibri" w:cs="Calibri"/>
                            <w:sz w:val="28"/>
                            <w:szCs w:val="28"/>
                          </w:rPr>
                          <w:t>Library Leadership</w:t>
                        </w:r>
                      </w:p>
                      <w:p w14:paraId="60CD94D9" w14:textId="77777777" w:rsidR="00FA4EEA" w:rsidRDefault="00FA4EEA">
                        <w:pPr>
                          <w:rPr>
                            <w:rFonts w:ascii="Calibri" w:eastAsia="Times New Roman" w:hAnsi="Calibri" w:cs="Calibri"/>
                            <w:sz w:val="28"/>
                            <w:szCs w:val="28"/>
                          </w:rPr>
                        </w:pPr>
                        <w:r>
                          <w:rPr>
                            <w:rFonts w:ascii="Calibri" w:eastAsia="Times New Roman" w:hAnsi="Calibri" w:cs="Calibri"/>
                            <w:sz w:val="28"/>
                            <w:szCs w:val="28"/>
                          </w:rPr>
                          <w:t>Academic Affairs is pleased to announce that the Library will be led during the coming year by Greg Weiner and Carrie Martin, who will serve as interim co-managers. Their appointment ensures continuity, thoughtful stewardship, and strong leadership as the Library continues its work to serve our students and campus community. A search for a permanent Library Director will take place during the next academic year.</w:t>
                        </w:r>
                      </w:p>
                      <w:p w14:paraId="49D43C12" w14:textId="77777777" w:rsidR="00FA4EEA" w:rsidRDefault="00FA4EEA">
                        <w:pPr>
                          <w:rPr>
                            <w:rFonts w:eastAsia="Times New Roman"/>
                          </w:rPr>
                        </w:pPr>
                        <w:r>
                          <w:rPr>
                            <w:rFonts w:eastAsia="Times New Roman"/>
                          </w:rPr>
                          <w:br/>
                          <w:t> </w:t>
                        </w:r>
                      </w:p>
                      <w:p w14:paraId="6E116650" w14:textId="77777777" w:rsidR="00FA4EEA" w:rsidRDefault="00FA4EEA">
                        <w:pPr>
                          <w:rPr>
                            <w:rFonts w:ascii="Calibri" w:eastAsia="Times New Roman" w:hAnsi="Calibri" w:cs="Calibri"/>
                            <w:sz w:val="28"/>
                            <w:szCs w:val="28"/>
                          </w:rPr>
                        </w:pPr>
                        <w:r>
                          <w:rPr>
                            <w:rStyle w:val="Strong"/>
                            <w:rFonts w:ascii="Calibri" w:eastAsia="Times New Roman" w:hAnsi="Calibri" w:cs="Calibri"/>
                            <w:sz w:val="28"/>
                            <w:szCs w:val="28"/>
                          </w:rPr>
                          <w:t>Taproot Fellows AY 26-27</w:t>
                        </w:r>
                      </w:p>
                      <w:p w14:paraId="2C8EFADB" w14:textId="77777777" w:rsidR="00FA4EEA" w:rsidRDefault="00FA4EEA">
                        <w:pPr>
                          <w:rPr>
                            <w:rFonts w:ascii="Calibri" w:eastAsia="Times New Roman" w:hAnsi="Calibri" w:cs="Calibri"/>
                            <w:sz w:val="28"/>
                            <w:szCs w:val="28"/>
                          </w:rPr>
                        </w:pPr>
                        <w:r>
                          <w:rPr>
                            <w:rFonts w:ascii="Calibri" w:eastAsia="Times New Roman" w:hAnsi="Calibri" w:cs="Calibri"/>
                            <w:sz w:val="28"/>
                            <w:szCs w:val="28"/>
                          </w:rPr>
                          <w:t>Academic Affairs is pleased to announce the new TAPROOT Fellows for Academic Year 2027, whose innovative projects exemplify the grant’s mission to create collaborative, engaging curricula that integrate art and technology in the classroom. Together, these fellows will expand interdisciplinary learning opportunities, connect theory to creative practice, and provide students with hands on experiences that reflect emerging artistic and technological practices.</w:t>
                        </w:r>
                      </w:p>
                      <w:p w14:paraId="043A7DB4" w14:textId="77777777" w:rsidR="00FA4EEA" w:rsidRDefault="00FA4EEA">
                        <w:pPr>
                          <w:rPr>
                            <w:rFonts w:eastAsia="Times New Roman"/>
                          </w:rPr>
                        </w:pPr>
                        <w:r>
                          <w:rPr>
                            <w:rFonts w:eastAsia="Times New Roman"/>
                          </w:rPr>
                          <w:t> </w:t>
                        </w:r>
                      </w:p>
                      <w:p w14:paraId="52F50335" w14:textId="77777777" w:rsidR="00FA4EEA" w:rsidRDefault="00FA4EEA">
                        <w:pPr>
                          <w:rPr>
                            <w:rFonts w:ascii="Calibri" w:eastAsia="Times New Roman" w:hAnsi="Calibri" w:cs="Calibri"/>
                            <w:sz w:val="28"/>
                            <w:szCs w:val="28"/>
                          </w:rPr>
                        </w:pPr>
                        <w:r>
                          <w:rPr>
                            <w:rStyle w:val="Strong"/>
                            <w:rFonts w:ascii="Calibri" w:eastAsia="Times New Roman" w:hAnsi="Calibri" w:cs="Calibri"/>
                            <w:sz w:val="28"/>
                            <w:szCs w:val="28"/>
                          </w:rPr>
                          <w:t>Sun Hee Kil - </w:t>
                        </w:r>
                        <w:r>
                          <w:rPr>
                            <w:rFonts w:ascii="Calibri" w:eastAsia="Times New Roman" w:hAnsi="Calibri" w:cs="Calibri"/>
                            <w:sz w:val="28"/>
                            <w:szCs w:val="28"/>
                          </w:rPr>
                          <w:t xml:space="preserve">project establishes an immersive audio learning and production environment that positions spatial sound as an active creative element in contemporary performance, installation art, and media production. By integrating two Meyer Sound Galileo Galaxy 816 processors with </w:t>
                        </w:r>
                        <w:proofErr w:type="spellStart"/>
                        <w:r>
                          <w:rPr>
                            <w:rFonts w:ascii="Calibri" w:eastAsia="Times New Roman" w:hAnsi="Calibri" w:cs="Calibri"/>
                            <w:sz w:val="28"/>
                            <w:szCs w:val="28"/>
                          </w:rPr>
                          <w:t>Spacemap</w:t>
                        </w:r>
                        <w:proofErr w:type="spellEnd"/>
                        <w:r>
                          <w:rPr>
                            <w:rFonts w:ascii="Calibri" w:eastAsia="Times New Roman" w:hAnsi="Calibri" w:cs="Calibri"/>
                            <w:sz w:val="28"/>
                            <w:szCs w:val="28"/>
                          </w:rPr>
                          <w:t xml:space="preserve"> software and existing Meyer loudspeaker infrastructure, the project enables real time spatial audio, object based mixing, and interactive sound design without requiring new speakers. Students gain hands on experience with industry standard audio over IP workflows (AES67 and Dante) while developing skills in immersive storytelling, spatial composition, and </w:t>
                        </w:r>
                        <w:r>
                          <w:rPr>
                            <w:rFonts w:ascii="Calibri" w:eastAsia="Times New Roman" w:hAnsi="Calibri" w:cs="Calibri"/>
                            <w:sz w:val="28"/>
                            <w:szCs w:val="28"/>
                          </w:rPr>
                          <w:lastRenderedPageBreak/>
                          <w:t>interdisciplinary collaboration across theatre, dance, media art, and installation. The project prepares students for professional environments that demand multisensory, technology integrated design practices.</w:t>
                        </w:r>
                      </w:p>
                      <w:p w14:paraId="1C88F786" w14:textId="77777777" w:rsidR="00FA4EEA" w:rsidRDefault="00FA4EEA">
                        <w:pPr>
                          <w:rPr>
                            <w:rFonts w:eastAsia="Times New Roman"/>
                          </w:rPr>
                        </w:pPr>
                        <w:r>
                          <w:rPr>
                            <w:rFonts w:eastAsia="Times New Roman"/>
                          </w:rPr>
                          <w:t> </w:t>
                        </w:r>
                      </w:p>
                      <w:p w14:paraId="4D8C9F67" w14:textId="77777777" w:rsidR="00FA4EEA" w:rsidRDefault="00FA4EEA">
                        <w:pPr>
                          <w:rPr>
                            <w:rFonts w:ascii="Calibri" w:eastAsia="Times New Roman" w:hAnsi="Calibri" w:cs="Calibri"/>
                            <w:sz w:val="28"/>
                            <w:szCs w:val="28"/>
                          </w:rPr>
                        </w:pPr>
                        <w:r>
                          <w:rPr>
                            <w:rStyle w:val="Strong"/>
                            <w:rFonts w:ascii="Calibri" w:eastAsia="Times New Roman" w:hAnsi="Calibri" w:cs="Calibri"/>
                            <w:sz w:val="28"/>
                            <w:szCs w:val="28"/>
                          </w:rPr>
                          <w:t>Rachel Dickstein</w:t>
                        </w:r>
                        <w:r>
                          <w:rPr>
                            <w:rFonts w:ascii="Calibri" w:eastAsia="Times New Roman" w:hAnsi="Calibri" w:cs="Calibri"/>
                            <w:sz w:val="28"/>
                            <w:szCs w:val="28"/>
                          </w:rPr>
                          <w:t xml:space="preserve"> - project is a cross divisional, design driven collaboration that brings together students from Theatre and Performance, Design/Technology, New Media, Art and Design, Film, and Dance to integrate technology and design thinking into performance making. Through coordinated coursework, rehearsal practices, and a Fall 2026 mainstage production (Deep Blue Sound by Abe </w:t>
                        </w:r>
                        <w:proofErr w:type="spellStart"/>
                        <w:r>
                          <w:rPr>
                            <w:rFonts w:ascii="Calibri" w:eastAsia="Times New Roman" w:hAnsi="Calibri" w:cs="Calibri"/>
                            <w:sz w:val="28"/>
                            <w:szCs w:val="28"/>
                          </w:rPr>
                          <w:t>Koogler</w:t>
                        </w:r>
                        <w:proofErr w:type="spellEnd"/>
                        <w:r>
                          <w:rPr>
                            <w:rFonts w:ascii="Calibri" w:eastAsia="Times New Roman" w:hAnsi="Calibri" w:cs="Calibri"/>
                            <w:sz w:val="28"/>
                            <w:szCs w:val="28"/>
                          </w:rPr>
                          <w:t>), students will collaborate across disciplines to develop video, sound, and lighting as active creative partners in the process. Together, these efforts model an innovative approach to curriculum to production integration and foster hands on, interdisciplinary creative practice across divisions.</w:t>
                        </w:r>
                      </w:p>
                      <w:p w14:paraId="26CC1673" w14:textId="77777777" w:rsidR="00FA4EEA" w:rsidRDefault="00FA4EEA">
                        <w:pPr>
                          <w:rPr>
                            <w:rFonts w:eastAsia="Times New Roman"/>
                          </w:rPr>
                        </w:pPr>
                        <w:r>
                          <w:rPr>
                            <w:rFonts w:eastAsia="Times New Roman"/>
                          </w:rPr>
                          <w:t> </w:t>
                        </w:r>
                      </w:p>
                      <w:p w14:paraId="7E86000E" w14:textId="77777777" w:rsidR="00FA4EEA" w:rsidRDefault="00FA4EEA">
                        <w:pPr>
                          <w:rPr>
                            <w:rFonts w:ascii="Calibri" w:eastAsia="Times New Roman" w:hAnsi="Calibri" w:cs="Calibri"/>
                            <w:sz w:val="28"/>
                            <w:szCs w:val="28"/>
                          </w:rPr>
                        </w:pPr>
                        <w:r>
                          <w:rPr>
                            <w:rStyle w:val="Strong"/>
                            <w:rFonts w:ascii="Calibri" w:eastAsia="Times New Roman" w:hAnsi="Calibri" w:cs="Calibri"/>
                            <w:sz w:val="28"/>
                            <w:szCs w:val="28"/>
                          </w:rPr>
                          <w:t>Lee Tusman and Joe McKay</w:t>
                        </w:r>
                        <w:r>
                          <w:rPr>
                            <w:rFonts w:ascii="Calibri" w:eastAsia="Times New Roman" w:hAnsi="Calibri" w:cs="Calibri"/>
                            <w:sz w:val="28"/>
                            <w:szCs w:val="28"/>
                          </w:rPr>
                          <w:t xml:space="preserve"> - will curate a twice monthly art and games workshop series that leverages the lab’s specialized equipment and creative resources. Workshops will be led by both in house practitioners and invited guest artists, designers, and scholars, and will introduce participants to experimental approaches to game making and play. Sample topics include: scanning physical objects into 3D game worlds, immersive sound-driven game design, visual novels using </w:t>
                        </w:r>
                        <w:proofErr w:type="spellStart"/>
                        <w:r>
                          <w:rPr>
                            <w:rFonts w:ascii="Calibri" w:eastAsia="Times New Roman" w:hAnsi="Calibri" w:cs="Calibri"/>
                            <w:sz w:val="28"/>
                            <w:szCs w:val="28"/>
                          </w:rPr>
                          <w:t>Ren’Py</w:t>
                        </w:r>
                        <w:proofErr w:type="spellEnd"/>
                        <w:r>
                          <w:rPr>
                            <w:rFonts w:ascii="Calibri" w:eastAsia="Times New Roman" w:hAnsi="Calibri" w:cs="Calibri"/>
                            <w:sz w:val="28"/>
                            <w:szCs w:val="28"/>
                          </w:rPr>
                          <w:t xml:space="preserve"> game engine, </w:t>
                        </w:r>
                        <w:proofErr w:type="spellStart"/>
                        <w:r>
                          <w:rPr>
                            <w:rFonts w:ascii="Calibri" w:eastAsia="Times New Roman" w:hAnsi="Calibri" w:cs="Calibri"/>
                            <w:sz w:val="28"/>
                            <w:szCs w:val="28"/>
                          </w:rPr>
                          <w:t>polemicl</w:t>
                        </w:r>
                        <w:proofErr w:type="spellEnd"/>
                        <w:r>
                          <w:rPr>
                            <w:rFonts w:ascii="Calibri" w:eastAsia="Times New Roman" w:hAnsi="Calibri" w:cs="Calibri"/>
                            <w:sz w:val="28"/>
                            <w:szCs w:val="28"/>
                          </w:rPr>
                          <w:t xml:space="preserve"> board games, how-to workshops, and game jams.</w:t>
                        </w:r>
                      </w:p>
                      <w:p w14:paraId="75BD27D2" w14:textId="77777777" w:rsidR="00FA4EEA" w:rsidRDefault="00FA4EEA">
                        <w:pPr>
                          <w:rPr>
                            <w:rFonts w:eastAsia="Times New Roman"/>
                          </w:rPr>
                        </w:pPr>
                        <w:r>
                          <w:rPr>
                            <w:rFonts w:eastAsia="Times New Roman"/>
                          </w:rPr>
                          <w:br/>
                          <w:t> </w:t>
                        </w:r>
                      </w:p>
                      <w:p w14:paraId="74ADA48A" w14:textId="77777777" w:rsidR="00FA4EEA" w:rsidRDefault="00FA4EEA">
                        <w:pPr>
                          <w:rPr>
                            <w:rFonts w:ascii="Calibri" w:eastAsia="Times New Roman" w:hAnsi="Calibri" w:cs="Calibri"/>
                            <w:sz w:val="28"/>
                            <w:szCs w:val="28"/>
                          </w:rPr>
                        </w:pPr>
                        <w:r>
                          <w:rPr>
                            <w:rStyle w:val="Strong"/>
                            <w:rFonts w:ascii="Calibri" w:eastAsia="Times New Roman" w:hAnsi="Calibri" w:cs="Calibri"/>
                            <w:sz w:val="28"/>
                            <w:szCs w:val="28"/>
                          </w:rPr>
                          <w:t>Faculty Pedagogy Fellows AY 26-27</w:t>
                        </w:r>
                      </w:p>
                      <w:p w14:paraId="448E28B6" w14:textId="77777777" w:rsidR="00FA4EEA" w:rsidRDefault="00FA4EEA">
                        <w:pPr>
                          <w:rPr>
                            <w:rFonts w:ascii="Calibri" w:eastAsia="Times New Roman" w:hAnsi="Calibri" w:cs="Calibri"/>
                            <w:sz w:val="28"/>
                            <w:szCs w:val="28"/>
                          </w:rPr>
                        </w:pPr>
                        <w:r>
                          <w:rPr>
                            <w:rFonts w:ascii="Calibri" w:eastAsia="Times New Roman" w:hAnsi="Calibri" w:cs="Calibri"/>
                            <w:sz w:val="28"/>
                            <w:szCs w:val="28"/>
                          </w:rPr>
                          <w:t xml:space="preserve">The Faculty Pedagogy Fellows program is an initiative of the Office of the Provost, administered through the Teaching, Learning, and Technology Center under the leadership of Keith Landa, Director. We are grateful for the leadership and contributions of the inaugural Fellows, Jessica Carnevale and Jenny Uleman, whose work established a strong foundation for the program, and we look forward with enthusiasm to </w:t>
                        </w:r>
                        <w:r>
                          <w:rPr>
                            <w:rStyle w:val="Strong"/>
                            <w:rFonts w:ascii="Calibri" w:eastAsia="Times New Roman" w:hAnsi="Calibri" w:cs="Calibri"/>
                            <w:sz w:val="28"/>
                            <w:szCs w:val="28"/>
                          </w:rPr>
                          <w:t>Yanine Hess</w:t>
                        </w:r>
                        <w:r>
                          <w:rPr>
                            <w:rFonts w:ascii="Calibri" w:eastAsia="Times New Roman" w:hAnsi="Calibri" w:cs="Calibri"/>
                            <w:sz w:val="28"/>
                            <w:szCs w:val="28"/>
                          </w:rPr>
                          <w:t xml:space="preserve"> and </w:t>
                        </w:r>
                        <w:r>
                          <w:rPr>
                            <w:rStyle w:val="Strong"/>
                            <w:rFonts w:ascii="Calibri" w:eastAsia="Times New Roman" w:hAnsi="Calibri" w:cs="Calibri"/>
                            <w:sz w:val="28"/>
                            <w:szCs w:val="28"/>
                          </w:rPr>
                          <w:t>Brooke Singer</w:t>
                        </w:r>
                        <w:r>
                          <w:rPr>
                            <w:rFonts w:ascii="Calibri" w:eastAsia="Times New Roman" w:hAnsi="Calibri" w:cs="Calibri"/>
                            <w:sz w:val="28"/>
                            <w:szCs w:val="28"/>
                          </w:rPr>
                          <w:t xml:space="preserve"> as the new Fellows, who will build on this legacy by supporting faculty in developing and sustaining the high standard of teaching excellence our students deserve. </w:t>
                        </w:r>
                      </w:p>
                      <w:p w14:paraId="1CBC9B39" w14:textId="77777777" w:rsidR="00FA4EEA" w:rsidRDefault="00FA4EEA">
                        <w:pPr>
                          <w:rPr>
                            <w:rFonts w:eastAsia="Times New Roman"/>
                          </w:rPr>
                        </w:pPr>
                        <w:r>
                          <w:rPr>
                            <w:rFonts w:eastAsia="Times New Roman"/>
                          </w:rPr>
                          <w:t> </w:t>
                        </w:r>
                      </w:p>
                      <w:p w14:paraId="0A9B89AA" w14:textId="77777777" w:rsidR="00FA4EEA" w:rsidRDefault="00FA4EEA">
                        <w:pPr>
                          <w:pStyle w:val="NormalWeb"/>
                          <w:spacing w:after="240" w:afterAutospacing="0"/>
                        </w:pPr>
                        <w:r>
                          <w:rPr>
                            <w:rStyle w:val="Strong"/>
                            <w:rFonts w:ascii="Calibri" w:hAnsi="Calibri" w:cs="Calibri"/>
                            <w:sz w:val="28"/>
                            <w:szCs w:val="28"/>
                          </w:rPr>
                          <w:t>Arts Access / General Education Working Group</w:t>
                        </w:r>
                        <w:r>
                          <w:rPr>
                            <w:rFonts w:ascii="Calibri" w:hAnsi="Calibri" w:cs="Calibri"/>
                            <w:b/>
                            <w:bCs/>
                            <w:sz w:val="28"/>
                            <w:szCs w:val="28"/>
                          </w:rPr>
                          <w:br/>
                        </w:r>
                        <w:r>
                          <w:rPr>
                            <w:rFonts w:ascii="Calibri" w:hAnsi="Calibri" w:cs="Calibri"/>
                            <w:sz w:val="28"/>
                            <w:szCs w:val="28"/>
                          </w:rPr>
                          <w:t xml:space="preserve">The college regularly assesses our various general education offerings in relation to several variables including course availability and student success in achieving Student Learning Outcomes. Most recently, a working group focused attention on the Arts category (mandatory for all Purchase students) but also broadened its scope to consider the larger question of access to curricular and extra-curricular arts </w:t>
                        </w:r>
                        <w:r>
                          <w:rPr>
                            <w:rFonts w:ascii="Calibri" w:hAnsi="Calibri" w:cs="Calibri"/>
                            <w:sz w:val="28"/>
                            <w:szCs w:val="28"/>
                          </w:rPr>
                          <w:lastRenderedPageBreak/>
                          <w:t xml:space="preserve">experiences, notably for students not enrolled in BFA or </w:t>
                        </w:r>
                        <w:proofErr w:type="spellStart"/>
                        <w:r>
                          <w:rPr>
                            <w:rFonts w:ascii="Calibri" w:hAnsi="Calibri" w:cs="Calibri"/>
                            <w:sz w:val="28"/>
                            <w:szCs w:val="28"/>
                          </w:rPr>
                          <w:t>MusB</w:t>
                        </w:r>
                        <w:proofErr w:type="spellEnd"/>
                        <w:r>
                          <w:rPr>
                            <w:rFonts w:ascii="Calibri" w:hAnsi="Calibri" w:cs="Calibri"/>
                            <w:sz w:val="28"/>
                            <w:szCs w:val="28"/>
                          </w:rPr>
                          <w:t xml:space="preserve"> programs. Findings are detailed in the working group's </w:t>
                        </w:r>
                        <w:hyperlink r:id="rId6" w:history="1">
                          <w:r>
                            <w:rPr>
                              <w:rStyle w:val="Hyperlink"/>
                              <w:rFonts w:ascii="Calibri" w:hAnsi="Calibri" w:cs="Calibri"/>
                              <w:b/>
                              <w:bCs/>
                              <w:sz w:val="28"/>
                              <w:szCs w:val="28"/>
                            </w:rPr>
                            <w:t>final summary report</w:t>
                          </w:r>
                        </w:hyperlink>
                        <w:r>
                          <w:rPr>
                            <w:rFonts w:ascii="Calibri" w:hAnsi="Calibri" w:cs="Calibri"/>
                            <w:sz w:val="28"/>
                            <w:szCs w:val="28"/>
                          </w:rPr>
                          <w:t>. </w:t>
                        </w:r>
                      </w:p>
                      <w:p w14:paraId="0BFCFBD4" w14:textId="77777777" w:rsidR="00FA4EEA" w:rsidRDefault="00FA4EEA">
                        <w:pPr>
                          <w:spacing w:after="240"/>
                          <w:rPr>
                            <w:rFonts w:ascii="Calibri" w:eastAsia="Times New Roman" w:hAnsi="Calibri" w:cs="Calibri"/>
                          </w:rPr>
                        </w:pPr>
                        <w:r>
                          <w:rPr>
                            <w:rStyle w:val="Strong"/>
                            <w:rFonts w:ascii="Calibri" w:eastAsia="Times New Roman" w:hAnsi="Calibri" w:cs="Calibri"/>
                            <w:sz w:val="28"/>
                            <w:szCs w:val="28"/>
                          </w:rPr>
                          <w:t>Grant Opportunities</w:t>
                        </w:r>
                        <w:r>
                          <w:rPr>
                            <w:rFonts w:ascii="Calibri" w:eastAsia="Times New Roman" w:hAnsi="Calibri" w:cs="Calibri"/>
                            <w:b/>
                            <w:bCs/>
                            <w:sz w:val="28"/>
                            <w:szCs w:val="28"/>
                          </w:rPr>
                          <w:br/>
                        </w:r>
                        <w:r>
                          <w:rPr>
                            <w:rFonts w:ascii="Calibri" w:eastAsia="Times New Roman" w:hAnsi="Calibri" w:cs="Calibri"/>
                            <w:sz w:val="28"/>
                            <w:szCs w:val="28"/>
                          </w:rPr>
                          <w:t xml:space="preserve">Please review our available </w:t>
                        </w:r>
                        <w:hyperlink r:id="rId7" w:history="1">
                          <w:r>
                            <w:rPr>
                              <w:rStyle w:val="Strong"/>
                              <w:rFonts w:ascii="Calibri" w:eastAsia="Times New Roman" w:hAnsi="Calibri" w:cs="Calibri"/>
                              <w:color w:val="0000FF"/>
                              <w:sz w:val="28"/>
                              <w:szCs w:val="28"/>
                              <w:u w:val="single"/>
                            </w:rPr>
                            <w:t>Fellowship grant opportunities from M&amp;Q</w:t>
                          </w:r>
                        </w:hyperlink>
                        <w:r>
                          <w:rPr>
                            <w:rFonts w:ascii="Calibri" w:eastAsia="Times New Roman" w:hAnsi="Calibri" w:cs="Calibri"/>
                            <w:sz w:val="28"/>
                            <w:szCs w:val="28"/>
                          </w:rPr>
                          <w:t xml:space="preserve"> and if you are interested in applying for these opportunities please contact </w:t>
                        </w:r>
                        <w:hyperlink r:id="rId8" w:history="1">
                          <w:r>
                            <w:rPr>
                              <w:rStyle w:val="Strong"/>
                              <w:rFonts w:ascii="Calibri" w:eastAsia="Times New Roman" w:hAnsi="Calibri" w:cs="Calibri"/>
                              <w:color w:val="0000FF"/>
                              <w:sz w:val="28"/>
                              <w:szCs w:val="28"/>
                              <w:u w:val="single"/>
                            </w:rPr>
                            <w:t>Katherine King</w:t>
                          </w:r>
                        </w:hyperlink>
                        <w:r>
                          <w:rPr>
                            <w:rFonts w:ascii="Calibri" w:eastAsia="Times New Roman" w:hAnsi="Calibri" w:cs="Calibri"/>
                            <w:sz w:val="28"/>
                            <w:szCs w:val="28"/>
                          </w:rPr>
                          <w:t>.</w:t>
                        </w:r>
                      </w:p>
                      <w:p w14:paraId="0355A8EB" w14:textId="77777777" w:rsidR="00FA4EEA" w:rsidRDefault="00FA4EEA">
                        <w:pPr>
                          <w:rPr>
                            <w:rFonts w:eastAsia="Times New Roman"/>
                          </w:rPr>
                        </w:pPr>
                        <w:r>
                          <w:rPr>
                            <w:rFonts w:eastAsia="Times New Roman"/>
                          </w:rPr>
                          <w:t> </w:t>
                        </w:r>
                      </w:p>
                      <w:p w14:paraId="083DFBFE" w14:textId="77777777" w:rsidR="00FA4EEA" w:rsidRDefault="00FA4EEA">
                        <w:pPr>
                          <w:rPr>
                            <w:rFonts w:ascii="Calibri" w:eastAsia="Times New Roman" w:hAnsi="Calibri" w:cs="Calibri"/>
                            <w:sz w:val="28"/>
                            <w:szCs w:val="28"/>
                          </w:rPr>
                        </w:pPr>
                        <w:r>
                          <w:rPr>
                            <w:rStyle w:val="Strong"/>
                            <w:rFonts w:ascii="Calibri" w:eastAsia="Times New Roman" w:hAnsi="Calibri" w:cs="Calibri"/>
                            <w:sz w:val="28"/>
                            <w:szCs w:val="28"/>
                          </w:rPr>
                          <w:t>SUNY Academic Affairs Fellows Program</w:t>
                        </w:r>
                      </w:p>
                      <w:p w14:paraId="4CF8F0BA" w14:textId="77777777" w:rsidR="00FA4EEA" w:rsidRDefault="00FA4EEA">
                        <w:pPr>
                          <w:rPr>
                            <w:rFonts w:ascii="Calibri" w:eastAsia="Times New Roman" w:hAnsi="Calibri" w:cs="Calibri"/>
                            <w:sz w:val="28"/>
                            <w:szCs w:val="28"/>
                          </w:rPr>
                        </w:pPr>
                        <w:r>
                          <w:rPr>
                            <w:rFonts w:ascii="Calibri" w:eastAsia="Times New Roman" w:hAnsi="Calibri" w:cs="Calibri"/>
                            <w:sz w:val="28"/>
                            <w:szCs w:val="28"/>
                          </w:rPr>
                          <w:t xml:space="preserve">The call for applications for the four </w:t>
                        </w:r>
                        <w:hyperlink r:id="rId9" w:history="1">
                          <w:r>
                            <w:rPr>
                              <w:rStyle w:val="Strong"/>
                              <w:rFonts w:ascii="Calibri" w:eastAsia="Times New Roman" w:hAnsi="Calibri" w:cs="Calibri"/>
                              <w:color w:val="0000FF"/>
                              <w:sz w:val="28"/>
                              <w:szCs w:val="28"/>
                              <w:u w:val="single"/>
                            </w:rPr>
                            <w:t>Academic Affairs Fellows Program</w:t>
                          </w:r>
                          <w:r>
                            <w:rPr>
                              <w:rStyle w:val="Hyperlink"/>
                              <w:rFonts w:ascii="Calibri" w:eastAsia="Times New Roman" w:hAnsi="Calibri" w:cs="Calibri"/>
                              <w:sz w:val="28"/>
                              <w:szCs w:val="28"/>
                            </w:rPr>
                            <w:t>s</w:t>
                          </w:r>
                        </w:hyperlink>
                        <w:r>
                          <w:rPr>
                            <w:rFonts w:ascii="Calibri" w:eastAsia="Times New Roman" w:hAnsi="Calibri" w:cs="Calibri"/>
                            <w:sz w:val="28"/>
                            <w:szCs w:val="28"/>
                          </w:rPr>
                          <w:t xml:space="preserve"> for the academic year 2026-2027 is now open: </w:t>
                        </w:r>
                      </w:p>
                      <w:p w14:paraId="0537E4EB" w14:textId="77777777" w:rsidR="00FA4EEA" w:rsidRDefault="00FA4EEA" w:rsidP="006C0615">
                        <w:pPr>
                          <w:numPr>
                            <w:ilvl w:val="0"/>
                            <w:numId w:val="1"/>
                          </w:numPr>
                          <w:spacing w:before="100" w:beforeAutospacing="1" w:after="100" w:afterAutospacing="1"/>
                          <w:rPr>
                            <w:rFonts w:ascii="Calibri" w:eastAsia="Times New Roman" w:hAnsi="Calibri" w:cs="Calibri"/>
                            <w:sz w:val="28"/>
                            <w:szCs w:val="28"/>
                          </w:rPr>
                        </w:pPr>
                        <w:r>
                          <w:rPr>
                            <w:rFonts w:ascii="Calibri" w:eastAsia="Times New Roman" w:hAnsi="Calibri" w:cs="Calibri"/>
                            <w:sz w:val="28"/>
                            <w:szCs w:val="28"/>
                          </w:rPr>
                          <w:t>Diversity, Equity, Inclusion, and Social Justice Fellows (open to eligible faculty)</w:t>
                        </w:r>
                      </w:p>
                      <w:p w14:paraId="4C55BA93" w14:textId="77777777" w:rsidR="00FA4EEA" w:rsidRDefault="00FA4EEA" w:rsidP="006C0615">
                        <w:pPr>
                          <w:numPr>
                            <w:ilvl w:val="0"/>
                            <w:numId w:val="1"/>
                          </w:numPr>
                          <w:spacing w:before="100" w:beforeAutospacing="1" w:after="100" w:afterAutospacing="1"/>
                          <w:rPr>
                            <w:rFonts w:ascii="Calibri" w:eastAsia="Times New Roman" w:hAnsi="Calibri" w:cs="Calibri"/>
                            <w:sz w:val="28"/>
                            <w:szCs w:val="28"/>
                          </w:rPr>
                        </w:pPr>
                        <w:r>
                          <w:rPr>
                            <w:rFonts w:ascii="Calibri" w:eastAsia="Times New Roman" w:hAnsi="Calibri" w:cs="Calibri"/>
                            <w:sz w:val="28"/>
                            <w:szCs w:val="28"/>
                          </w:rPr>
                          <w:t>Civil Discourse and Civic Education and Engagement Fellows (open to eligible faculty and staff)</w:t>
                        </w:r>
                      </w:p>
                      <w:p w14:paraId="0FE383E1" w14:textId="77777777" w:rsidR="00FA4EEA" w:rsidRDefault="00FA4EEA" w:rsidP="006C0615">
                        <w:pPr>
                          <w:numPr>
                            <w:ilvl w:val="0"/>
                            <w:numId w:val="1"/>
                          </w:numPr>
                          <w:spacing w:before="100" w:beforeAutospacing="1" w:after="100" w:afterAutospacing="1"/>
                          <w:rPr>
                            <w:rFonts w:ascii="Calibri" w:eastAsia="Times New Roman" w:hAnsi="Calibri" w:cs="Calibri"/>
                            <w:sz w:val="28"/>
                            <w:szCs w:val="28"/>
                          </w:rPr>
                        </w:pPr>
                        <w:r>
                          <w:rPr>
                            <w:rFonts w:ascii="Calibri" w:eastAsia="Times New Roman" w:hAnsi="Calibri" w:cs="Calibri"/>
                            <w:sz w:val="28"/>
                            <w:szCs w:val="28"/>
                          </w:rPr>
                          <w:t>AI for the Public Good Fellows (open to eligible faculty, instructional designers, and librarians)</w:t>
                        </w:r>
                      </w:p>
                      <w:p w14:paraId="2647067D" w14:textId="77777777" w:rsidR="00FA4EEA" w:rsidRDefault="00FA4EEA" w:rsidP="006C0615">
                        <w:pPr>
                          <w:numPr>
                            <w:ilvl w:val="0"/>
                            <w:numId w:val="1"/>
                          </w:numPr>
                          <w:spacing w:before="100" w:beforeAutospacing="1" w:after="100" w:afterAutospacing="1"/>
                          <w:rPr>
                            <w:rFonts w:ascii="Calibri" w:eastAsia="Times New Roman" w:hAnsi="Calibri" w:cs="Calibri"/>
                            <w:sz w:val="28"/>
                            <w:szCs w:val="28"/>
                          </w:rPr>
                        </w:pPr>
                        <w:r>
                          <w:rPr>
                            <w:rFonts w:ascii="Calibri" w:eastAsia="Times New Roman" w:hAnsi="Calibri" w:cs="Calibri"/>
                            <w:sz w:val="28"/>
                            <w:szCs w:val="28"/>
                          </w:rPr>
                          <w:t>Sustainability Faculty Fellows (open to eligible faculty)</w:t>
                        </w:r>
                      </w:p>
                      <w:p w14:paraId="0DD0A249" w14:textId="77777777" w:rsidR="00FA4EEA" w:rsidRDefault="00FA4EEA">
                        <w:pPr>
                          <w:rPr>
                            <w:rFonts w:ascii="Calibri" w:eastAsia="Times New Roman" w:hAnsi="Calibri" w:cs="Calibri"/>
                            <w:sz w:val="28"/>
                            <w:szCs w:val="28"/>
                          </w:rPr>
                        </w:pPr>
                        <w:r>
                          <w:rPr>
                            <w:rFonts w:ascii="Calibri" w:eastAsia="Times New Roman" w:hAnsi="Calibri" w:cs="Calibri"/>
                            <w:sz w:val="28"/>
                            <w:szCs w:val="28"/>
                          </w:rPr>
                          <w:t xml:space="preserve">More information and applications are available on the </w:t>
                        </w:r>
                        <w:hyperlink r:id="rId10" w:history="1">
                          <w:r>
                            <w:rPr>
                              <w:rStyle w:val="Strong"/>
                              <w:rFonts w:ascii="Calibri" w:eastAsia="Times New Roman" w:hAnsi="Calibri" w:cs="Calibri"/>
                              <w:color w:val="0000FF"/>
                              <w:sz w:val="28"/>
                              <w:szCs w:val="28"/>
                              <w:u w:val="single"/>
                            </w:rPr>
                            <w:t>Fellows Programs Application Portal</w:t>
                          </w:r>
                        </w:hyperlink>
                        <w:r>
                          <w:rPr>
                            <w:rFonts w:ascii="Calibri" w:eastAsia="Times New Roman" w:hAnsi="Calibri" w:cs="Calibri"/>
                            <w:sz w:val="28"/>
                            <w:szCs w:val="28"/>
                          </w:rPr>
                          <w:t>. The deadline is June 8, 2026.</w:t>
                        </w:r>
                      </w:p>
                      <w:p w14:paraId="17EE78D4" w14:textId="77777777" w:rsidR="00FA4EEA" w:rsidRDefault="00FA4EEA">
                        <w:pPr>
                          <w:rPr>
                            <w:rFonts w:ascii="Calibri" w:eastAsia="Times New Roman" w:hAnsi="Calibri" w:cs="Calibri"/>
                            <w:sz w:val="28"/>
                            <w:szCs w:val="28"/>
                          </w:rPr>
                        </w:pPr>
                        <w:r>
                          <w:rPr>
                            <w:rFonts w:ascii="Calibri" w:eastAsia="Times New Roman" w:hAnsi="Calibri" w:cs="Calibri"/>
                            <w:sz w:val="28"/>
                            <w:szCs w:val="28"/>
                          </w:rPr>
                          <w:br/>
                          <w:t xml:space="preserve">Academic Affairs is hosting an information session for the 2026-2027 fellows programs and application process on May 18th, 10-11am. Prospective applicants may join via the </w:t>
                        </w:r>
                        <w:hyperlink r:id="rId11" w:history="1">
                          <w:r>
                            <w:rPr>
                              <w:rStyle w:val="Strong"/>
                              <w:rFonts w:ascii="Calibri" w:eastAsia="Times New Roman" w:hAnsi="Calibri" w:cs="Calibri"/>
                              <w:color w:val="0000FF"/>
                              <w:sz w:val="28"/>
                              <w:szCs w:val="28"/>
                              <w:u w:val="single"/>
                            </w:rPr>
                            <w:t>Zoom link</w:t>
                          </w:r>
                        </w:hyperlink>
                        <w:r>
                          <w:rPr>
                            <w:rFonts w:ascii="Calibri" w:eastAsia="Times New Roman" w:hAnsi="Calibri" w:cs="Calibri"/>
                            <w:sz w:val="28"/>
                            <w:szCs w:val="28"/>
                          </w:rPr>
                          <w:t>.</w:t>
                        </w:r>
                      </w:p>
                      <w:p w14:paraId="329E1A3C" w14:textId="77777777" w:rsidR="00FA4EEA" w:rsidRDefault="00FA4EEA">
                        <w:pPr>
                          <w:rPr>
                            <w:rFonts w:eastAsia="Times New Roman"/>
                          </w:rPr>
                        </w:pPr>
                        <w:r>
                          <w:rPr>
                            <w:rFonts w:eastAsia="Times New Roman"/>
                          </w:rPr>
                          <w:t> </w:t>
                        </w:r>
                      </w:p>
                      <w:p w14:paraId="766132A1" w14:textId="77777777" w:rsidR="00FA4EEA" w:rsidRDefault="00FA4EEA">
                        <w:pPr>
                          <w:rPr>
                            <w:rFonts w:eastAsia="Times New Roman"/>
                          </w:rPr>
                        </w:pPr>
                        <w:r>
                          <w:rPr>
                            <w:rFonts w:eastAsia="Times New Roman"/>
                          </w:rPr>
                          <w:t> </w:t>
                        </w:r>
                      </w:p>
                      <w:p w14:paraId="09E04B98" w14:textId="75167336" w:rsidR="00FA4EEA" w:rsidRDefault="00FA4EEA">
                        <w:pPr>
                          <w:rPr>
                            <w:rFonts w:eastAsia="Times New Roman"/>
                          </w:rPr>
                        </w:pPr>
                        <w:r>
                          <w:rPr>
                            <w:rFonts w:eastAsia="Times New Roman"/>
                          </w:rPr>
                          <w:br/>
                        </w:r>
                        <w:r>
                          <w:rPr>
                            <w:rFonts w:eastAsia="Times New Roman"/>
                            <w:noProof/>
                          </w:rPr>
                          <w:drawing>
                            <wp:inline distT="0" distB="0" distL="0" distR="0" wp14:anchorId="7AC37383" wp14:editId="13584C74">
                              <wp:extent cx="1190625" cy="1190625"/>
                              <wp:effectExtent l="0" t="0" r="9525" b="9525"/>
                              <wp:docPr id="1" name="Picture 1" descr="Quality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ality Educ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tc>
                  </w:tr>
                </w:tbl>
                <w:p w14:paraId="0872B569" w14:textId="77777777" w:rsidR="00FA4EEA" w:rsidRDefault="00FA4EEA">
                  <w:pPr>
                    <w:rPr>
                      <w:rFonts w:ascii="Times New Roman" w:eastAsia="Times New Roman" w:hAnsi="Times New Roman" w:cs="Times New Roman"/>
                      <w:sz w:val="20"/>
                      <w:szCs w:val="20"/>
                    </w:rPr>
                  </w:pPr>
                </w:p>
              </w:tc>
            </w:tr>
            <w:tr w:rsidR="00FA4EEA" w14:paraId="49DF0E0D" w14:textId="77777777">
              <w:trPr>
                <w:tblCellSpacing w:w="15" w:type="dxa"/>
                <w:jc w:val="center"/>
              </w:trPr>
              <w:tc>
                <w:tcPr>
                  <w:tcW w:w="0" w:type="auto"/>
                  <w:shd w:val="clear" w:color="auto" w:fill="FFFFFF"/>
                  <w:tcMar>
                    <w:top w:w="15" w:type="dxa"/>
                    <w:left w:w="15" w:type="dxa"/>
                    <w:bottom w:w="15" w:type="dxa"/>
                    <w:right w:w="15" w:type="dxa"/>
                  </w:tcMar>
                  <w:vAlign w:val="center"/>
                  <w:hideMark/>
                </w:tcPr>
                <w:tbl>
                  <w:tblPr>
                    <w:tblW w:w="5000" w:type="pct"/>
                    <w:tblCellMar>
                      <w:left w:w="0" w:type="dxa"/>
                      <w:right w:w="0" w:type="dxa"/>
                    </w:tblCellMar>
                    <w:tblLook w:val="04A0" w:firstRow="1" w:lastRow="0" w:firstColumn="1" w:lastColumn="0" w:noHBand="0" w:noVBand="1"/>
                  </w:tblPr>
                  <w:tblGrid>
                    <w:gridCol w:w="10410"/>
                  </w:tblGrid>
                  <w:tr w:rsidR="00FA4EEA" w14:paraId="4D5708B2" w14:textId="77777777">
                    <w:tc>
                      <w:tcPr>
                        <w:tcW w:w="0" w:type="auto"/>
                        <w:hideMark/>
                      </w:tcPr>
                      <w:p w14:paraId="07FAA894" w14:textId="77777777" w:rsidR="00FA4EEA" w:rsidRDefault="00FA4EEA">
                        <w:pPr>
                          <w:spacing w:line="270" w:lineRule="atLeast"/>
                          <w:jc w:val="center"/>
                          <w:rPr>
                            <w:rFonts w:ascii="Arial" w:eastAsia="Times New Roman" w:hAnsi="Arial" w:cs="Arial"/>
                            <w:color w:val="575757"/>
                            <w:spacing w:val="-2"/>
                            <w:sz w:val="18"/>
                            <w:szCs w:val="18"/>
                          </w:rPr>
                        </w:pPr>
                        <w:hyperlink r:id="rId13" w:tgtFrame="_blank" w:history="1">
                          <w:r>
                            <w:rPr>
                              <w:rStyle w:val="Hyperlink"/>
                              <w:rFonts w:ascii="Arial" w:eastAsia="Times New Roman" w:hAnsi="Arial" w:cs="Arial"/>
                              <w:color w:val="575757"/>
                              <w:spacing w:val="-2"/>
                              <w:sz w:val="18"/>
                              <w:szCs w:val="18"/>
                            </w:rPr>
                            <w:t>Office of the Provost</w:t>
                          </w:r>
                        </w:hyperlink>
                        <w:r>
                          <w:rPr>
                            <w:rFonts w:ascii="Arial" w:eastAsia="Times New Roman" w:hAnsi="Arial" w:cs="Arial"/>
                            <w:color w:val="575757"/>
                            <w:spacing w:val="-2"/>
                            <w:sz w:val="18"/>
                            <w:szCs w:val="18"/>
                          </w:rPr>
                          <w:t>  |  </w:t>
                        </w:r>
                        <w:hyperlink r:id="rId14" w:history="1">
                          <w:r>
                            <w:rPr>
                              <w:rStyle w:val="Hyperlink"/>
                              <w:rFonts w:ascii="Arial" w:eastAsia="Times New Roman" w:hAnsi="Arial" w:cs="Arial"/>
                              <w:color w:val="575757"/>
                              <w:spacing w:val="-2"/>
                              <w:sz w:val="18"/>
                              <w:szCs w:val="18"/>
                            </w:rPr>
                            <w:t>914.251.6020</w:t>
                          </w:r>
                        </w:hyperlink>
                        <w:r>
                          <w:rPr>
                            <w:rFonts w:ascii="Arial" w:eastAsia="Times New Roman" w:hAnsi="Arial" w:cs="Arial"/>
                            <w:color w:val="575757"/>
                            <w:spacing w:val="-2"/>
                            <w:sz w:val="18"/>
                            <w:szCs w:val="18"/>
                          </w:rPr>
                          <w:t xml:space="preserve"> </w:t>
                        </w:r>
                      </w:p>
                      <w:p w14:paraId="3621E4E5" w14:textId="77777777" w:rsidR="00FA4EEA" w:rsidRDefault="00FA4EEA">
                        <w:pPr>
                          <w:spacing w:line="270" w:lineRule="atLeast"/>
                          <w:jc w:val="center"/>
                          <w:rPr>
                            <w:rFonts w:ascii="Arial" w:eastAsia="Times New Roman" w:hAnsi="Arial" w:cs="Arial"/>
                            <w:color w:val="575757"/>
                            <w:spacing w:val="-2"/>
                            <w:sz w:val="18"/>
                            <w:szCs w:val="18"/>
                          </w:rPr>
                        </w:pPr>
                        <w:r>
                          <w:rPr>
                            <w:rFonts w:ascii="Arial" w:eastAsia="Times New Roman" w:hAnsi="Arial" w:cs="Arial"/>
                            <w:color w:val="575757"/>
                            <w:spacing w:val="-2"/>
                            <w:sz w:val="18"/>
                            <w:szCs w:val="18"/>
                          </w:rPr>
                          <w:t xml:space="preserve">Purchase College, State University of New York, 735 Anderson Hill Road, Purchase, NY 10577 </w:t>
                        </w:r>
                      </w:p>
                    </w:tc>
                  </w:tr>
                </w:tbl>
                <w:p w14:paraId="1EF576E6" w14:textId="77777777" w:rsidR="00FA4EEA" w:rsidRDefault="00FA4EEA">
                  <w:pPr>
                    <w:rPr>
                      <w:rFonts w:ascii="Times New Roman" w:eastAsia="Times New Roman" w:hAnsi="Times New Roman" w:cs="Times New Roman"/>
                      <w:sz w:val="20"/>
                      <w:szCs w:val="20"/>
                    </w:rPr>
                  </w:pPr>
                </w:p>
              </w:tc>
            </w:tr>
          </w:tbl>
          <w:p w14:paraId="0D2AE0EB" w14:textId="77777777" w:rsidR="00FA4EEA" w:rsidRDefault="00FA4EEA">
            <w:pPr>
              <w:jc w:val="center"/>
              <w:rPr>
                <w:rFonts w:ascii="Times New Roman" w:eastAsia="Times New Roman" w:hAnsi="Times New Roman" w:cs="Times New Roman"/>
                <w:sz w:val="20"/>
                <w:szCs w:val="20"/>
              </w:rPr>
            </w:pPr>
          </w:p>
        </w:tc>
      </w:tr>
    </w:tbl>
    <w:p w14:paraId="6654FE05" w14:textId="77777777" w:rsidR="00CB6698" w:rsidRDefault="00CB6698"/>
    <w:sectPr w:rsidR="00CB6698" w:rsidSect="00FA4EEA">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D71899"/>
    <w:multiLevelType w:val="multilevel"/>
    <w:tmpl w:val="A378D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6884627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EEA"/>
    <w:rsid w:val="009F2845"/>
    <w:rsid w:val="00A41763"/>
    <w:rsid w:val="00CB6698"/>
    <w:rsid w:val="00DC7B1D"/>
    <w:rsid w:val="00FA4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9FB4F"/>
  <w15:chartTrackingRefBased/>
  <w15:docId w15:val="{4C57CFC5-6A91-4F4D-95C0-8FD1C644E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EEA"/>
    <w:pPr>
      <w:spacing w:after="0" w:line="240" w:lineRule="auto"/>
    </w:pPr>
    <w:rPr>
      <w:rFonts w:ascii="Aptos" w:hAnsi="Aptos" w:cs="Aptos"/>
      <w:kern w:val="0"/>
      <w14:ligatures w14:val="none"/>
    </w:rPr>
  </w:style>
  <w:style w:type="paragraph" w:styleId="Heading1">
    <w:name w:val="heading 1"/>
    <w:basedOn w:val="Normal"/>
    <w:next w:val="Normal"/>
    <w:link w:val="Heading1Char"/>
    <w:uiPriority w:val="9"/>
    <w:qFormat/>
    <w:rsid w:val="00FA4E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4E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4E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4E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4E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4E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4E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4E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4E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E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4E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4E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4E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4E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4E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4E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4E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4EEA"/>
    <w:rPr>
      <w:rFonts w:eastAsiaTheme="majorEastAsia" w:cstheme="majorBidi"/>
      <w:color w:val="272727" w:themeColor="text1" w:themeTint="D8"/>
    </w:rPr>
  </w:style>
  <w:style w:type="paragraph" w:styleId="Title">
    <w:name w:val="Title"/>
    <w:basedOn w:val="Normal"/>
    <w:next w:val="Normal"/>
    <w:link w:val="TitleChar"/>
    <w:uiPriority w:val="10"/>
    <w:qFormat/>
    <w:rsid w:val="00FA4EE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E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4E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4E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4EEA"/>
    <w:pPr>
      <w:spacing w:before="160"/>
      <w:jc w:val="center"/>
    </w:pPr>
    <w:rPr>
      <w:i/>
      <w:iCs/>
      <w:color w:val="404040" w:themeColor="text1" w:themeTint="BF"/>
    </w:rPr>
  </w:style>
  <w:style w:type="character" w:customStyle="1" w:styleId="QuoteChar">
    <w:name w:val="Quote Char"/>
    <w:basedOn w:val="DefaultParagraphFont"/>
    <w:link w:val="Quote"/>
    <w:uiPriority w:val="29"/>
    <w:rsid w:val="00FA4EEA"/>
    <w:rPr>
      <w:i/>
      <w:iCs/>
      <w:color w:val="404040" w:themeColor="text1" w:themeTint="BF"/>
    </w:rPr>
  </w:style>
  <w:style w:type="paragraph" w:styleId="ListParagraph">
    <w:name w:val="List Paragraph"/>
    <w:basedOn w:val="Normal"/>
    <w:uiPriority w:val="34"/>
    <w:qFormat/>
    <w:rsid w:val="00FA4EEA"/>
    <w:pPr>
      <w:ind w:left="720"/>
      <w:contextualSpacing/>
    </w:pPr>
  </w:style>
  <w:style w:type="character" w:styleId="IntenseEmphasis">
    <w:name w:val="Intense Emphasis"/>
    <w:basedOn w:val="DefaultParagraphFont"/>
    <w:uiPriority w:val="21"/>
    <w:qFormat/>
    <w:rsid w:val="00FA4EEA"/>
    <w:rPr>
      <w:i/>
      <w:iCs/>
      <w:color w:val="0F4761" w:themeColor="accent1" w:themeShade="BF"/>
    </w:rPr>
  </w:style>
  <w:style w:type="paragraph" w:styleId="IntenseQuote">
    <w:name w:val="Intense Quote"/>
    <w:basedOn w:val="Normal"/>
    <w:next w:val="Normal"/>
    <w:link w:val="IntenseQuoteChar"/>
    <w:uiPriority w:val="30"/>
    <w:qFormat/>
    <w:rsid w:val="00FA4E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4EEA"/>
    <w:rPr>
      <w:i/>
      <w:iCs/>
      <w:color w:val="0F4761" w:themeColor="accent1" w:themeShade="BF"/>
    </w:rPr>
  </w:style>
  <w:style w:type="character" w:styleId="IntenseReference">
    <w:name w:val="Intense Reference"/>
    <w:basedOn w:val="DefaultParagraphFont"/>
    <w:uiPriority w:val="32"/>
    <w:qFormat/>
    <w:rsid w:val="00FA4EEA"/>
    <w:rPr>
      <w:b/>
      <w:bCs/>
      <w:smallCaps/>
      <w:color w:val="0F4761" w:themeColor="accent1" w:themeShade="BF"/>
      <w:spacing w:val="5"/>
    </w:rPr>
  </w:style>
  <w:style w:type="character" w:styleId="Hyperlink">
    <w:name w:val="Hyperlink"/>
    <w:basedOn w:val="DefaultParagraphFont"/>
    <w:uiPriority w:val="99"/>
    <w:semiHidden/>
    <w:unhideWhenUsed/>
    <w:rsid w:val="00FA4EEA"/>
    <w:rPr>
      <w:color w:val="0000FF"/>
      <w:u w:val="single"/>
    </w:rPr>
  </w:style>
  <w:style w:type="paragraph" w:styleId="NormalWeb">
    <w:name w:val="Normal (Web)"/>
    <w:basedOn w:val="Normal"/>
    <w:uiPriority w:val="99"/>
    <w:semiHidden/>
    <w:unhideWhenUsed/>
    <w:rsid w:val="00FA4EEA"/>
    <w:pPr>
      <w:spacing w:before="100" w:beforeAutospacing="1" w:after="100" w:afterAutospacing="1"/>
    </w:pPr>
  </w:style>
  <w:style w:type="character" w:styleId="Strong">
    <w:name w:val="Strong"/>
    <w:basedOn w:val="DefaultParagraphFont"/>
    <w:uiPriority w:val="22"/>
    <w:qFormat/>
    <w:rsid w:val="00FA4EEA"/>
    <w:rPr>
      <w:b/>
      <w:bCs/>
    </w:rPr>
  </w:style>
  <w:style w:type="character" w:styleId="Emphasis">
    <w:name w:val="Emphasis"/>
    <w:basedOn w:val="DefaultParagraphFont"/>
    <w:uiPriority w:val="20"/>
    <w:qFormat/>
    <w:rsid w:val="00FA4E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100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to:katherine.king@purchase.edu" TargetMode="External"/><Relationship Id="rId13" Type="http://schemas.openxmlformats.org/officeDocument/2006/relationships/hyperlink" Target="https://nam11.safelinks.protection.outlook.com/?url=https%3A%2F%2Fwww.purchase.edu%2Foffices%2Fprovost%2F&amp;data=05%7C02%7Canna.oyola%40purchase.edu%7Cc1b66f1886a941d0780e08deb11b91dd%7C955b907a201b4c78b49c0fba54eb870d%7C0%7C0%7C639142929266802807%7CUnknown%7CTWFpbGZsb3d8eyJFbXB0eU1hcGkiOnRydWUsIlYiOiIwLjAuMDAwMCIsIlAiOiJXaW4zMiIsIkFOIjoiTWFpbCIsIldUIjoyfQ%3D%3D%7C0%7C%7C%7C&amp;sdata=fm24rEIXRfW8UjkFdRukbCt%2B2u3J6Eqwp53Ydxt%2BYZQ%3D&amp;reserved=0" TargetMode="External"/><Relationship Id="rId3" Type="http://schemas.openxmlformats.org/officeDocument/2006/relationships/settings" Target="settings.xml"/><Relationship Id="rId7" Type="http://schemas.openxmlformats.org/officeDocument/2006/relationships/hyperlink" Target="https://purchase.sharepoint.com/:f:/g/provost/IgCB_TKznAzMQ5b0C4rzMZ8eAV0wvzinIZiOvWZ-rfn4BgM?e=uzg83K&amp;xsdata=MDV8MDJ8YW5uYS5veW9sYUBwdXJjaGFzZS5lZHV8YzFiNjZmMTg4NmE5NDFkMDc4MGUwOGRlYjExYjkxZGR8OTU1YjkwN2EyMDFiNGM3OGI0OWMwZmJhNTRlYjg3MGR8MHwwfDYzOTE0MjkyOTI2NjY0NDUyOHxVbmtub3dufFRXRnBiR1pzYjNkOGV5SkZiWEIwZVUxaGNHa2lPblJ5ZFdVc0lsWWlPaUl3TGpBdU1EQXdNQ0lzSWxBaU9pSlhhVzR6TWlJc0lrRk9Jam9pVFdGcGJDSXNJbGRVSWpveWZRPT18MHx8fA%3d%3d&amp;sdata=RlJZbDRYVUUzb3Bpa1haTmVEajdWbDQ0Q3NaNXJJTjlaVFU1ZldMdU5Zbz0%3d" TargetMode="Externa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urchase.sharepoint.com/:b:/r/assessment/General%20Education%20Assessment/Arts%20Gen%20Ed%20Assessment%2024-26/Arts%20Access_Gen%20Ed%20Final%20Report/Arts%20Access_General%20Education%20Working%20Group_Final%20Report%2004.2026.pdf?csf=1&amp;web=1&amp;e=65Xr5l&amp;xsdata=MDV8MDJ8YW5uYS5veW9sYUBwdXJjaGFzZS5lZHV8YzFiNjZmMTg4NmE5NDFkMDc4MGUwOGRlYjExYjkxZGR8OTU1YjkwN2EyMDFiNGM3OGI0OWMwZmJhNTRlYjg3MGR8MHwwfDYzOTE0MjkyOTI2NjYxNjk3MHxVbmtub3dufFRXRnBiR1pzYjNkOGV5SkZiWEIwZVUxaGNHa2lPblJ5ZFdVc0lsWWlPaUl3TGpBdU1EQXdNQ0lzSWxBaU9pSlhhVzR6TWlJc0lrRk9Jam9pVFdGcGJDSXNJbGRVSWpveWZRPT18MHx8fA%3d%3d&amp;sdata=QWtwNFRkMHVtOG4rQmNqK2l6YTQ5Nk1xbnIzbDIxSTRCN2s0M3NpZ3FSZz0%3d" TargetMode="External"/><Relationship Id="rId11" Type="http://schemas.openxmlformats.org/officeDocument/2006/relationships/hyperlink" Target="https://nam11.safelinks.protection.outlook.com/?url=https%3A%2F%2Fsuny-edu.zoom.us%2Fj%2F89620394851%3Fpwd%3DDvO9dMM5uTrWUJd0OPxjM9d8bzPM4s.1&amp;data=05%7C02%7Canna.oyola%40purchase.edu%7Cc1b66f1886a941d0780e08deb11b91dd%7C955b907a201b4c78b49c0fba54eb870d%7C0%7C0%7C639142929266764643%7CUnknown%7CTWFpbGZsb3d8eyJFbXB0eU1hcGkiOnRydWUsIlYiOiIwLjAuMDAwMCIsIlAiOiJXaW4zMiIsIkFOIjoiTWFpbCIsIldUIjoyfQ%3D%3D%7C0%7C%7C%7C&amp;sdata=%2Bl1KN1BzcRFydN4KujB4%2B6IQJ9AS6Vy10%2FWFUWKB%2Fog%3D&amp;reserved=0"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nam11.safelinks.protection.outlook.com/?url=https%3A%2F%2Fsystem.suny.edu%2Facademic-affairs%2Ffellows-programs%2Ffellows-programs-application-portal%2F&amp;data=05%7C02%7Canna.oyola%40purchase.edu%7Cc1b66f1886a941d0780e08deb11b91dd%7C955b907a201b4c78b49c0fba54eb870d%7C0%7C0%7C639142929266720889%7CUnknown%7CTWFpbGZsb3d8eyJFbXB0eU1hcGkiOnRydWUsIlYiOiIwLjAuMDAwMCIsIlAiOiJXaW4zMiIsIkFOIjoiTWFpbCIsIldUIjoyfQ%3D%3D%7C0%7C%7C%7C&amp;sdata=h2zS7LpGGHBGVVAqI9xLHRB8kgMxT4AJhpa4rELYLGo%3D&amp;reserved=0" TargetMode="External"/><Relationship Id="rId4" Type="http://schemas.openxmlformats.org/officeDocument/2006/relationships/webSettings" Target="webSettings.xml"/><Relationship Id="rId9" Type="http://schemas.openxmlformats.org/officeDocument/2006/relationships/hyperlink" Target="https://nam11.safelinks.protection.outlook.com/?url=https%3A%2F%2Fsystem.suny.edu%2Facademic-affairs%2Ffellows-programs%2F&amp;data=05%7C02%7Canna.oyola%40purchase.edu%7Cc1b66f1886a941d0780e08deb11b91dd%7C955b907a201b4c78b49c0fba54eb870d%7C0%7C0%7C639142929266665788%7CUnknown%7CTWFpbGZsb3d8eyJFbXB0eU1hcGkiOnRydWUsIlYiOiIwLjAuMDAwMCIsIlAiOiJXaW4zMiIsIkFOIjoiTWFpbCIsIldUIjoyfQ%3D%3D%7C0%7C%7C%7C&amp;sdata=o96ed6Li904MmrcJcFtx3STX9ZA3xJyYTY4e0tV8nOc%3D&amp;reserved=0" TargetMode="External"/><Relationship Id="rId14" Type="http://schemas.openxmlformats.org/officeDocument/2006/relationships/hyperlink" Target="tel:1-914-251-6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1778</Words>
  <Characters>10139</Characters>
  <Application>Microsoft Office Word</Application>
  <DocSecurity>0</DocSecurity>
  <Lines>84</Lines>
  <Paragraphs>23</Paragraphs>
  <ScaleCrop>false</ScaleCrop>
  <Company/>
  <LinksUpToDate>false</LinksUpToDate>
  <CharactersWithSpaces>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Oyola, Anna</dc:creator>
  <cp:keywords/>
  <dc:description/>
  <cp:lastModifiedBy>Oyola, Anna</cp:lastModifiedBy>
  <cp:revision>1</cp:revision>
  <dcterms:created xsi:type="dcterms:W3CDTF">2026-07-01T16:41:00Z</dcterms:created>
  <dcterms:modified xsi:type="dcterms:W3CDTF">2026-07-01T16:44:00Z</dcterms:modified>
</cp:coreProperties>
</file>