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8AFA" w14:textId="476F196D" w:rsidR="008618BC" w:rsidRDefault="009308C5" w:rsidP="00861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8618BC">
        <w:rPr>
          <w:sz w:val="28"/>
          <w:szCs w:val="28"/>
        </w:rPr>
        <w:t>Guidelines on Using Pronouns</w:t>
      </w:r>
    </w:p>
    <w:p w14:paraId="02C24F77" w14:textId="32EE81D7" w:rsidR="008618BC" w:rsidRPr="00F455F1" w:rsidRDefault="008618BC" w:rsidP="00F455F1">
      <w:pPr>
        <w:jc w:val="center"/>
        <w:rPr>
          <w:sz w:val="28"/>
          <w:szCs w:val="28"/>
        </w:rPr>
      </w:pPr>
      <w:r w:rsidRPr="00F455F1">
        <w:rPr>
          <w:sz w:val="28"/>
          <w:szCs w:val="28"/>
        </w:rPr>
        <w:t>Pronoun Agreement</w:t>
      </w:r>
      <w:r w:rsidR="00846FE8" w:rsidRPr="00F455F1">
        <w:rPr>
          <w:sz w:val="28"/>
          <w:szCs w:val="28"/>
        </w:rPr>
        <w:t>/ Pronoun</w:t>
      </w:r>
      <w:r w:rsidR="009308C5" w:rsidRPr="00F455F1">
        <w:rPr>
          <w:sz w:val="28"/>
          <w:szCs w:val="28"/>
        </w:rPr>
        <w:t xml:space="preserve"> Reference</w:t>
      </w:r>
      <w:r w:rsidR="00846FE8" w:rsidRPr="00F455F1">
        <w:rPr>
          <w:sz w:val="28"/>
          <w:szCs w:val="28"/>
        </w:rPr>
        <w:t>/</w:t>
      </w:r>
      <w:r w:rsidR="009308C5" w:rsidRPr="00F455F1">
        <w:rPr>
          <w:sz w:val="28"/>
          <w:szCs w:val="28"/>
        </w:rPr>
        <w:t>Pronouns and Gender-balanced Language</w:t>
      </w:r>
    </w:p>
    <w:p w14:paraId="7622B70F" w14:textId="0BC7B989" w:rsidR="008618BC" w:rsidRDefault="008618BC" w:rsidP="008618BC"/>
    <w:p w14:paraId="0825768B" w14:textId="40AF8E4A" w:rsidR="008618BC" w:rsidRDefault="008618BC" w:rsidP="008618BC">
      <w:pPr>
        <w:pStyle w:val="ListParagraph"/>
        <w:numPr>
          <w:ilvl w:val="0"/>
          <w:numId w:val="7"/>
        </w:numPr>
      </w:pPr>
      <w:r>
        <w:t>Pronoun agreement:</w:t>
      </w:r>
    </w:p>
    <w:p w14:paraId="29F2969C" w14:textId="7CA32223" w:rsidR="008618BC" w:rsidRDefault="008618BC" w:rsidP="008618BC">
      <w:pPr>
        <w:ind w:left="360"/>
      </w:pPr>
      <w:r>
        <w:t xml:space="preserve">As the word suggests, pronouns are closely tied to nouns; in fact, pronouns take the place of nouns in order to reduce or avoid repetition. When replacing a noun with a pronoun, the writer must </w:t>
      </w:r>
      <w:r w:rsidR="00D04391">
        <w:t xml:space="preserve">take care to have the pronoun </w:t>
      </w:r>
      <w:r>
        <w:t xml:space="preserve">agree in number (singular or plural) with the noun that it replaces. </w:t>
      </w:r>
    </w:p>
    <w:p w14:paraId="5918B553" w14:textId="0F390F72" w:rsidR="00D04391" w:rsidRDefault="00D71FA4" w:rsidP="008618BC">
      <w:pPr>
        <w:ind w:left="360"/>
      </w:pPr>
      <w:r>
        <w:tab/>
      </w:r>
    </w:p>
    <w:p w14:paraId="70BB49E4" w14:textId="3E0032A7" w:rsidR="00D04391" w:rsidRDefault="00D04391" w:rsidP="00D71FA4">
      <w:pPr>
        <w:ind w:left="360" w:firstLine="360"/>
      </w:pPr>
      <w:r>
        <w:t>Each building has its own manager. (</w:t>
      </w:r>
      <w:proofErr w:type="spellStart"/>
      <w:proofErr w:type="gramStart"/>
      <w:r w:rsidRPr="009308C5">
        <w:rPr>
          <w:i/>
          <w:iCs/>
        </w:rPr>
        <w:t>its</w:t>
      </w:r>
      <w:proofErr w:type="spellEnd"/>
      <w:proofErr w:type="gramEnd"/>
      <w:r>
        <w:t xml:space="preserve"> for the singular noun </w:t>
      </w:r>
      <w:r w:rsidRPr="00846FE8">
        <w:rPr>
          <w:i/>
        </w:rPr>
        <w:t>building</w:t>
      </w:r>
      <w:r>
        <w:t>).</w:t>
      </w:r>
    </w:p>
    <w:p w14:paraId="28A3FDFF" w14:textId="1961959F" w:rsidR="00D04391" w:rsidRDefault="00D04391" w:rsidP="00D71FA4">
      <w:pPr>
        <w:ind w:left="360" w:firstLine="360"/>
      </w:pPr>
      <w:r>
        <w:t>Both buildings open their doors at 7 am. (</w:t>
      </w:r>
      <w:proofErr w:type="spellStart"/>
      <w:proofErr w:type="gramStart"/>
      <w:r w:rsidRPr="009308C5">
        <w:rPr>
          <w:i/>
          <w:iCs/>
        </w:rPr>
        <w:t>their</w:t>
      </w:r>
      <w:proofErr w:type="spellEnd"/>
      <w:proofErr w:type="gramEnd"/>
      <w:r>
        <w:t xml:space="preserve"> for the plural </w:t>
      </w:r>
      <w:r w:rsidRPr="00846FE8">
        <w:rPr>
          <w:i/>
        </w:rPr>
        <w:t>buildings</w:t>
      </w:r>
      <w:r>
        <w:t>)</w:t>
      </w:r>
    </w:p>
    <w:p w14:paraId="7F667128" w14:textId="180FFF86" w:rsidR="00D04391" w:rsidRDefault="00D04391" w:rsidP="00E81A0D"/>
    <w:p w14:paraId="38CA720D" w14:textId="1F8B3CD1" w:rsidR="00D04391" w:rsidRDefault="003C0980" w:rsidP="008618BC">
      <w:pPr>
        <w:ind w:left="360"/>
      </w:pPr>
      <w:r>
        <w:t xml:space="preserve">Be sure to ignore any prepositional phrases that come between the noun and the pronoun that </w:t>
      </w:r>
      <w:r w:rsidR="009308C5">
        <w:t>replaces it</w:t>
      </w:r>
      <w:r>
        <w:t>, since this may lead to an error.</w:t>
      </w:r>
    </w:p>
    <w:p w14:paraId="24761352" w14:textId="60CFE4DD" w:rsidR="003C0980" w:rsidRDefault="003C0980" w:rsidP="008618BC">
      <w:pPr>
        <w:ind w:left="360"/>
      </w:pPr>
    </w:p>
    <w:p w14:paraId="228BD558" w14:textId="76A812F9" w:rsidR="003C0980" w:rsidRDefault="003C0980" w:rsidP="00D71FA4">
      <w:pPr>
        <w:ind w:left="360" w:firstLine="360"/>
      </w:pPr>
      <w:r>
        <w:t xml:space="preserve">The </w:t>
      </w:r>
      <w:r w:rsidR="009308C5">
        <w:t>box</w:t>
      </w:r>
      <w:r>
        <w:t xml:space="preserve"> of textbooks </w:t>
      </w:r>
      <w:r w:rsidR="009308C5">
        <w:t>has its contents clearly marked</w:t>
      </w:r>
      <w:r>
        <w:t>.</w:t>
      </w:r>
      <w:r w:rsidR="009308C5">
        <w:t xml:space="preserve"> (the subject is </w:t>
      </w:r>
      <w:r w:rsidR="009308C5" w:rsidRPr="00E81A0D">
        <w:rPr>
          <w:i/>
          <w:iCs/>
        </w:rPr>
        <w:t>the box</w:t>
      </w:r>
      <w:r w:rsidR="009308C5">
        <w:t>, singular)</w:t>
      </w:r>
    </w:p>
    <w:p w14:paraId="2A0F66D8" w14:textId="4BDA9B0E" w:rsidR="003C0980" w:rsidRDefault="009308C5" w:rsidP="00D71FA4">
      <w:pPr>
        <w:ind w:left="360" w:firstLine="360"/>
      </w:pPr>
      <w:r>
        <w:t>Boxes</w:t>
      </w:r>
      <w:r w:rsidR="003C0980">
        <w:t xml:space="preserve"> of textbooks </w:t>
      </w:r>
      <w:r>
        <w:t>have their contents clearly marked</w:t>
      </w:r>
      <w:r w:rsidR="003C0980">
        <w:t>.</w:t>
      </w:r>
      <w:r>
        <w:t xml:space="preserve"> (the subject is </w:t>
      </w:r>
      <w:r w:rsidR="00E81A0D" w:rsidRPr="00E81A0D">
        <w:rPr>
          <w:i/>
          <w:iCs/>
        </w:rPr>
        <w:t>boxes</w:t>
      </w:r>
      <w:r>
        <w:t>, plural)</w:t>
      </w:r>
    </w:p>
    <w:p w14:paraId="13C8FD42" w14:textId="20A898CE" w:rsidR="003C0980" w:rsidRDefault="003C0980" w:rsidP="008618BC">
      <w:pPr>
        <w:ind w:left="360"/>
      </w:pPr>
    </w:p>
    <w:p w14:paraId="7EFAE9C7" w14:textId="69E4F287" w:rsidR="003C0980" w:rsidRDefault="003C0980" w:rsidP="008618BC">
      <w:pPr>
        <w:ind w:left="360"/>
      </w:pPr>
      <w:r>
        <w:t xml:space="preserve">Note: if you choose to use the pronoun </w:t>
      </w:r>
      <w:r w:rsidRPr="009308C5">
        <w:rPr>
          <w:i/>
          <w:iCs/>
        </w:rPr>
        <w:t xml:space="preserve">they </w:t>
      </w:r>
      <w:r>
        <w:t xml:space="preserve">to indicate a gender-neutral </w:t>
      </w:r>
      <w:r w:rsidR="00D71FA4">
        <w:t xml:space="preserve">third-person </w:t>
      </w:r>
      <w:r>
        <w:t xml:space="preserve">singular, just be consistent in your usage. </w:t>
      </w:r>
    </w:p>
    <w:p w14:paraId="455418EA" w14:textId="464C9523" w:rsidR="003C0980" w:rsidRDefault="003C0980" w:rsidP="008618BC">
      <w:pPr>
        <w:ind w:left="360"/>
      </w:pPr>
    </w:p>
    <w:p w14:paraId="0302282D" w14:textId="52364FC9" w:rsidR="003C0980" w:rsidRDefault="003C0980" w:rsidP="00D71FA4">
      <w:pPr>
        <w:ind w:left="720"/>
      </w:pPr>
      <w:r>
        <w:t xml:space="preserve">A player with great training stands a good chance of beating </w:t>
      </w:r>
      <w:r w:rsidRPr="00D71FA4">
        <w:rPr>
          <w:i/>
          <w:iCs/>
        </w:rPr>
        <w:t xml:space="preserve">their </w:t>
      </w:r>
      <w:r>
        <w:t xml:space="preserve">opponent. </w:t>
      </w:r>
      <w:r w:rsidRPr="00D71FA4">
        <w:rPr>
          <w:i/>
          <w:iCs/>
        </w:rPr>
        <w:t>They</w:t>
      </w:r>
      <w:r>
        <w:t xml:space="preserve"> can rely on hours of previous experience.</w:t>
      </w:r>
    </w:p>
    <w:p w14:paraId="089FA9EA" w14:textId="70462BF4" w:rsidR="003C0980" w:rsidRDefault="003C0980" w:rsidP="008618BC">
      <w:pPr>
        <w:ind w:left="360"/>
      </w:pPr>
    </w:p>
    <w:p w14:paraId="4F112773" w14:textId="1DFD3DC6" w:rsidR="003C0980" w:rsidRDefault="003C0980" w:rsidP="008618BC">
      <w:pPr>
        <w:ind w:left="360"/>
      </w:pPr>
      <w:r>
        <w:t xml:space="preserve">Also </w:t>
      </w:r>
      <w:r w:rsidR="00D71FA4">
        <w:t>notice</w:t>
      </w:r>
      <w:r>
        <w:t xml:space="preserve"> that when a pronoun refers to more than one noun joined by </w:t>
      </w:r>
      <w:r w:rsidRPr="00D71FA4">
        <w:rPr>
          <w:i/>
          <w:iCs/>
        </w:rPr>
        <w:t>or</w:t>
      </w:r>
      <w:r>
        <w:t>, the word closest to the pronoun determines the agreement.</w:t>
      </w:r>
    </w:p>
    <w:p w14:paraId="0AFBE77B" w14:textId="7CEC050C" w:rsidR="003C0980" w:rsidRDefault="003C0980" w:rsidP="008618BC">
      <w:pPr>
        <w:ind w:left="360"/>
      </w:pPr>
    </w:p>
    <w:p w14:paraId="058A8592" w14:textId="60F49CB5" w:rsidR="003C0980" w:rsidRDefault="003C0980" w:rsidP="00D71FA4">
      <w:pPr>
        <w:ind w:left="360" w:firstLine="360"/>
      </w:pPr>
      <w:r>
        <w:t xml:space="preserve">Either </w:t>
      </w:r>
      <w:r w:rsidR="00D71FA4">
        <w:t>the</w:t>
      </w:r>
      <w:r>
        <w:t xml:space="preserve"> dog or </w:t>
      </w:r>
      <w:r w:rsidR="00D71FA4">
        <w:t xml:space="preserve">the </w:t>
      </w:r>
      <w:r>
        <w:t xml:space="preserve">two cats </w:t>
      </w:r>
      <w:r w:rsidR="00352B29">
        <w:t>make an annual visit to the school.</w:t>
      </w:r>
    </w:p>
    <w:p w14:paraId="152EAB28" w14:textId="110E8F7D" w:rsidR="00352B29" w:rsidRDefault="00352B29" w:rsidP="00D71FA4">
      <w:pPr>
        <w:ind w:left="360" w:firstLine="360"/>
      </w:pPr>
      <w:r>
        <w:t xml:space="preserve">Either </w:t>
      </w:r>
      <w:r w:rsidR="00D71FA4">
        <w:t xml:space="preserve">the </w:t>
      </w:r>
      <w:r>
        <w:t xml:space="preserve">two </w:t>
      </w:r>
      <w:r w:rsidR="00D71FA4">
        <w:t>cat</w:t>
      </w:r>
      <w:r>
        <w:t xml:space="preserve">s or </w:t>
      </w:r>
      <w:r w:rsidR="00D71FA4">
        <w:t>the</w:t>
      </w:r>
      <w:r>
        <w:t xml:space="preserve"> </w:t>
      </w:r>
      <w:r w:rsidR="00D71FA4">
        <w:t>dog</w:t>
      </w:r>
      <w:r>
        <w:t xml:space="preserve"> makes an annual visit to the school.</w:t>
      </w:r>
    </w:p>
    <w:p w14:paraId="33498E17" w14:textId="27DCE951" w:rsidR="00352B29" w:rsidRDefault="00352B29" w:rsidP="008618BC">
      <w:pPr>
        <w:ind w:left="360"/>
      </w:pPr>
    </w:p>
    <w:p w14:paraId="73E97EE7" w14:textId="77777777" w:rsidR="00D71FA4" w:rsidRDefault="00D71FA4" w:rsidP="00352B29">
      <w:pPr>
        <w:ind w:left="360"/>
      </w:pPr>
    </w:p>
    <w:p w14:paraId="71D2DA86" w14:textId="1F2023F2" w:rsidR="00D71FA4" w:rsidRDefault="00D71FA4" w:rsidP="00D71FA4">
      <w:pPr>
        <w:pStyle w:val="ListParagraph"/>
        <w:numPr>
          <w:ilvl w:val="0"/>
          <w:numId w:val="7"/>
        </w:numPr>
      </w:pPr>
      <w:r>
        <w:t>Pronoun reference</w:t>
      </w:r>
    </w:p>
    <w:p w14:paraId="0F0339EB" w14:textId="77777777" w:rsidR="00D71FA4" w:rsidRDefault="00D71FA4" w:rsidP="00352B29">
      <w:pPr>
        <w:ind w:left="360"/>
      </w:pPr>
    </w:p>
    <w:p w14:paraId="05F990BF" w14:textId="2E8E9AFD" w:rsidR="00352B29" w:rsidRDefault="00352B29" w:rsidP="00352B29">
      <w:pPr>
        <w:ind w:left="360"/>
      </w:pPr>
      <w:r>
        <w:t xml:space="preserve">Last, be sure to avoid confusion that results from </w:t>
      </w:r>
      <w:r w:rsidR="00CE217E">
        <w:t>unclear</w:t>
      </w:r>
      <w:r>
        <w:t xml:space="preserve"> reference. </w:t>
      </w:r>
      <w:r w:rsidR="00CE217E">
        <w:t>Look at the following sentence:</w:t>
      </w:r>
      <w:r>
        <w:t xml:space="preserve"> </w:t>
      </w:r>
    </w:p>
    <w:p w14:paraId="5FB0CDCF" w14:textId="1CD45F89" w:rsidR="00352B29" w:rsidRDefault="00352B29" w:rsidP="00352B29">
      <w:pPr>
        <w:ind w:left="360"/>
      </w:pPr>
    </w:p>
    <w:p w14:paraId="1AAB4809" w14:textId="4D8964C7" w:rsidR="00F455F1" w:rsidRDefault="00352B29" w:rsidP="00F455F1">
      <w:pPr>
        <w:ind w:left="360" w:firstLine="360"/>
      </w:pPr>
      <w:r>
        <w:t xml:space="preserve">Susan told her sister that </w:t>
      </w:r>
      <w:r w:rsidRPr="00846FE8">
        <w:rPr>
          <w:i/>
        </w:rPr>
        <w:t>she</w:t>
      </w:r>
      <w:r>
        <w:t xml:space="preserve"> needed more sleep</w:t>
      </w:r>
    </w:p>
    <w:p w14:paraId="24A929CB" w14:textId="77777777" w:rsidR="00F455F1" w:rsidRDefault="00F455F1" w:rsidP="00352B29">
      <w:pPr>
        <w:ind w:left="360"/>
      </w:pPr>
    </w:p>
    <w:p w14:paraId="1A61BC60" w14:textId="2AEBF6C4" w:rsidR="00352B29" w:rsidRDefault="00CE217E" w:rsidP="00352B29">
      <w:pPr>
        <w:ind w:left="360"/>
      </w:pPr>
      <w:r>
        <w:t>Here, it</w:t>
      </w:r>
      <w:r w:rsidR="00352B29">
        <w:t xml:space="preserve"> is unclear which woman needs sleep. Try rewriting the sentence to establish clarity.</w:t>
      </w:r>
      <w:r w:rsidR="00E81A0D">
        <w:t xml:space="preserve"> Two approaches </w:t>
      </w:r>
      <w:r w:rsidR="00846FE8">
        <w:t>would be to use direct speech and</w:t>
      </w:r>
      <w:r w:rsidR="00E81A0D">
        <w:t xml:space="preserve"> to rephrase the sentence.</w:t>
      </w:r>
    </w:p>
    <w:p w14:paraId="39669A31" w14:textId="30360D3D" w:rsidR="00F455F1" w:rsidRDefault="00F455F1" w:rsidP="00352B29">
      <w:pPr>
        <w:ind w:left="360"/>
      </w:pPr>
    </w:p>
    <w:p w14:paraId="24A6A2EC" w14:textId="77777777" w:rsidR="00F455F1" w:rsidRDefault="00F455F1" w:rsidP="00352B29">
      <w:pPr>
        <w:ind w:left="360"/>
      </w:pPr>
    </w:p>
    <w:p w14:paraId="716890CB" w14:textId="5387A4F2" w:rsidR="00E81A0D" w:rsidRDefault="00E81A0D" w:rsidP="00352B29">
      <w:pPr>
        <w:ind w:left="360"/>
      </w:pPr>
    </w:p>
    <w:p w14:paraId="15CFB2A8" w14:textId="7750420E" w:rsidR="00E81A0D" w:rsidRDefault="00E81A0D" w:rsidP="00E81A0D">
      <w:pPr>
        <w:ind w:left="360" w:firstLine="360"/>
      </w:pPr>
      <w:r>
        <w:lastRenderedPageBreak/>
        <w:t xml:space="preserve">Susan said to her sister, “Carrie, you need more sleep.” </w:t>
      </w:r>
    </w:p>
    <w:p w14:paraId="54B76303" w14:textId="0FAF3ECF" w:rsidR="007102DE" w:rsidRDefault="00E81A0D" w:rsidP="007102DE">
      <w:pPr>
        <w:ind w:left="360" w:firstLine="360"/>
      </w:pPr>
      <w:r>
        <w:t>Susan looked at her sister’s tired face and told her she should get more sleep</w:t>
      </w:r>
      <w:r w:rsidR="00F455F1">
        <w:t>.</w:t>
      </w:r>
    </w:p>
    <w:p w14:paraId="2D82D843" w14:textId="77777777" w:rsidR="00F455F1" w:rsidRDefault="00F455F1" w:rsidP="007102DE">
      <w:pPr>
        <w:ind w:left="360" w:firstLine="360"/>
      </w:pPr>
    </w:p>
    <w:p w14:paraId="41CC0778" w14:textId="4B475B56" w:rsidR="007102DE" w:rsidRDefault="007102DE" w:rsidP="007102DE">
      <w:pPr>
        <w:ind w:left="360" w:firstLine="360"/>
      </w:pPr>
    </w:p>
    <w:p w14:paraId="0B87DCCB" w14:textId="3650D76A" w:rsidR="007102DE" w:rsidRPr="007102DE" w:rsidRDefault="00846FE8" w:rsidP="00C74948">
      <w:pPr>
        <w:ind w:left="360"/>
        <w:rPr>
          <w:sz w:val="18"/>
          <w:szCs w:val="18"/>
        </w:rPr>
      </w:pPr>
      <w:r>
        <w:rPr>
          <w:sz w:val="18"/>
          <w:szCs w:val="18"/>
        </w:rPr>
        <w:t>Work consult</w:t>
      </w:r>
      <w:r w:rsidR="00C74948">
        <w:rPr>
          <w:sz w:val="18"/>
          <w:szCs w:val="18"/>
        </w:rPr>
        <w:t xml:space="preserve">ed: Wilson, Paige and Teresa </w:t>
      </w:r>
      <w:proofErr w:type="spellStart"/>
      <w:r w:rsidR="00C74948">
        <w:rPr>
          <w:sz w:val="18"/>
          <w:szCs w:val="18"/>
        </w:rPr>
        <w:t>Ferster</w:t>
      </w:r>
      <w:proofErr w:type="spellEnd"/>
      <w:r w:rsidR="00C74948">
        <w:rPr>
          <w:sz w:val="18"/>
          <w:szCs w:val="18"/>
        </w:rPr>
        <w:t xml:space="preserve"> </w:t>
      </w:r>
      <w:proofErr w:type="spellStart"/>
      <w:r w:rsidR="00C74948">
        <w:rPr>
          <w:sz w:val="18"/>
          <w:szCs w:val="18"/>
        </w:rPr>
        <w:t>Galzier</w:t>
      </w:r>
      <w:proofErr w:type="spellEnd"/>
      <w:r w:rsidR="00C74948">
        <w:rPr>
          <w:sz w:val="18"/>
          <w:szCs w:val="18"/>
        </w:rPr>
        <w:t xml:space="preserve">. </w:t>
      </w:r>
      <w:r w:rsidRPr="00846FE8">
        <w:rPr>
          <w:sz w:val="18"/>
          <w:szCs w:val="18"/>
          <w:u w:val="single"/>
        </w:rPr>
        <w:t>Writing Essentia</w:t>
      </w:r>
      <w:r w:rsidR="007102DE" w:rsidRPr="00846FE8">
        <w:rPr>
          <w:sz w:val="18"/>
          <w:szCs w:val="18"/>
          <w:u w:val="single"/>
        </w:rPr>
        <w:t>ls: Exer</w:t>
      </w:r>
      <w:r w:rsidRPr="00846FE8">
        <w:rPr>
          <w:sz w:val="18"/>
          <w:szCs w:val="18"/>
          <w:u w:val="single"/>
        </w:rPr>
        <w:t>cis</w:t>
      </w:r>
      <w:r w:rsidR="007102DE" w:rsidRPr="00846FE8">
        <w:rPr>
          <w:sz w:val="18"/>
          <w:szCs w:val="18"/>
          <w:u w:val="single"/>
        </w:rPr>
        <w:t>es to Improve Spelling, Sentence Structure, Punctuation, and Writing</w:t>
      </w:r>
      <w:r w:rsidR="007102DE">
        <w:rPr>
          <w:sz w:val="18"/>
          <w:szCs w:val="18"/>
        </w:rPr>
        <w:t xml:space="preserve">. </w:t>
      </w:r>
      <w:proofErr w:type="spellStart"/>
      <w:r w:rsidR="007102DE">
        <w:rPr>
          <w:sz w:val="18"/>
          <w:szCs w:val="18"/>
        </w:rPr>
        <w:t>Heinle</w:t>
      </w:r>
      <w:proofErr w:type="spellEnd"/>
      <w:r w:rsidR="00C74948">
        <w:rPr>
          <w:sz w:val="18"/>
          <w:szCs w:val="18"/>
        </w:rPr>
        <w:t>.</w:t>
      </w:r>
    </w:p>
    <w:p w14:paraId="79DE978F" w14:textId="77777777" w:rsidR="007102DE" w:rsidRDefault="007102DE" w:rsidP="007102DE">
      <w:pPr>
        <w:ind w:left="360" w:firstLine="360"/>
      </w:pPr>
    </w:p>
    <w:p w14:paraId="0E955A7F" w14:textId="256AEC26" w:rsidR="003C0980" w:rsidRDefault="007102DE" w:rsidP="008618BC">
      <w:pPr>
        <w:ind w:left="360"/>
      </w:pPr>
      <w:r>
        <w:t>c. Pronouns and gender-balanced language:</w:t>
      </w:r>
    </w:p>
    <w:p w14:paraId="11F2246E" w14:textId="116C5366" w:rsidR="007102DE" w:rsidRDefault="007102DE" w:rsidP="008618BC">
      <w:pPr>
        <w:ind w:left="360"/>
      </w:pPr>
    </w:p>
    <w:p w14:paraId="03C835D1" w14:textId="5A1694A7" w:rsidR="007102DE" w:rsidRDefault="007102DE" w:rsidP="008618BC">
      <w:pPr>
        <w:ind w:left="360"/>
      </w:pPr>
      <w:r>
        <w:t>Gender-fair language is committed to opening opportunities</w:t>
      </w:r>
      <w:r w:rsidR="00C74948">
        <w:t xml:space="preserve"> and</w:t>
      </w:r>
      <w:r>
        <w:t xml:space="preserve"> aims for inclusion. Here are some strategies </w:t>
      </w:r>
      <w:r w:rsidR="00F762B5">
        <w:t>for writers</w:t>
      </w:r>
      <w:r>
        <w:t>:</w:t>
      </w:r>
    </w:p>
    <w:p w14:paraId="0CFD2BE1" w14:textId="67890E7C" w:rsidR="007102DE" w:rsidRDefault="007102DE" w:rsidP="008618BC">
      <w:pPr>
        <w:ind w:left="360"/>
      </w:pPr>
    </w:p>
    <w:p w14:paraId="0FFD8A49" w14:textId="6A72D830" w:rsidR="007102DE" w:rsidRDefault="007102DE" w:rsidP="00BC7BBA">
      <w:pPr>
        <w:ind w:left="360"/>
      </w:pPr>
      <w:r w:rsidRPr="00BC7BBA">
        <w:rPr>
          <w:b/>
          <w:bCs/>
        </w:rPr>
        <w:t>Balancing pronoun use</w:t>
      </w:r>
      <w:r>
        <w:t xml:space="preserve">: Do not assume </w:t>
      </w:r>
      <w:r w:rsidRPr="00BE18EB">
        <w:rPr>
          <w:i/>
          <w:iCs/>
        </w:rPr>
        <w:t>he</w:t>
      </w:r>
      <w:r>
        <w:t xml:space="preserve"> as the default pronoun. To balance pronoun usage, you can:</w:t>
      </w:r>
    </w:p>
    <w:p w14:paraId="6D0D74FA" w14:textId="77777777" w:rsidR="00BC7BBA" w:rsidRDefault="00BC7BBA" w:rsidP="00BC7BBA"/>
    <w:p w14:paraId="39B15CBD" w14:textId="3F800308" w:rsidR="00BC7BBA" w:rsidRDefault="007102DE" w:rsidP="00BC7BBA">
      <w:pPr>
        <w:ind w:firstLine="720"/>
      </w:pPr>
      <w:r>
        <w:t>Use “he” with “she” alternately or “s/he” or “she/he.</w:t>
      </w:r>
    </w:p>
    <w:p w14:paraId="7F835665" w14:textId="38BD2ED7" w:rsidR="00155460" w:rsidRDefault="00155460" w:rsidP="00155460">
      <w:pPr>
        <w:ind w:left="360"/>
      </w:pPr>
    </w:p>
    <w:p w14:paraId="34732140" w14:textId="161B161F" w:rsidR="00155460" w:rsidRDefault="00155460" w:rsidP="00155460">
      <w:pPr>
        <w:ind w:left="360"/>
      </w:pPr>
      <w:r>
        <w:t>But the above choices clearly still affirm the gender binary. To avoid this, try pluralizing the noun to which the pronoun refer</w:t>
      </w:r>
      <w:r w:rsidR="00F762B5">
        <w:t>s</w:t>
      </w:r>
      <w:r>
        <w:t>. Instead of “If a s</w:t>
      </w:r>
      <w:r w:rsidR="00F762B5">
        <w:t>tu</w:t>
      </w:r>
      <w:r>
        <w:t>d</w:t>
      </w:r>
      <w:r w:rsidR="00FE6054">
        <w:t>en</w:t>
      </w:r>
      <w:r>
        <w:t xml:space="preserve">t studies hard, s/he will succeed,” </w:t>
      </w:r>
      <w:r w:rsidR="00C74948">
        <w:t>write,</w:t>
      </w:r>
    </w:p>
    <w:p w14:paraId="207DA693" w14:textId="0F6C0EF3" w:rsidR="00155460" w:rsidRDefault="00155460" w:rsidP="00155460">
      <w:pPr>
        <w:ind w:left="360"/>
      </w:pPr>
    </w:p>
    <w:p w14:paraId="3F8646EF" w14:textId="3BA91DF2" w:rsidR="00155460" w:rsidRDefault="00155460" w:rsidP="00155460">
      <w:pPr>
        <w:ind w:left="360"/>
      </w:pPr>
      <w:r>
        <w:tab/>
      </w:r>
      <w:r w:rsidRPr="00FE6054">
        <w:rPr>
          <w:i/>
          <w:iCs/>
        </w:rPr>
        <w:t>Students</w:t>
      </w:r>
      <w:r>
        <w:t xml:space="preserve"> who study hard will succeed</w:t>
      </w:r>
    </w:p>
    <w:p w14:paraId="61EE8F60" w14:textId="17FF3423" w:rsidR="00155460" w:rsidRDefault="00155460" w:rsidP="00155460">
      <w:pPr>
        <w:ind w:left="360"/>
      </w:pPr>
    </w:p>
    <w:p w14:paraId="347FE986" w14:textId="07600B9A" w:rsidR="00155460" w:rsidRDefault="00C74948" w:rsidP="00155460">
      <w:pPr>
        <w:ind w:left="360"/>
      </w:pPr>
      <w:r>
        <w:t>Or opt</w:t>
      </w:r>
      <w:r w:rsidR="00155460">
        <w:t xml:space="preserve"> for the gender-neutral, third-person singular “they,”</w:t>
      </w:r>
    </w:p>
    <w:p w14:paraId="070CDCB2" w14:textId="137B5CC7" w:rsidR="00155460" w:rsidRDefault="00155460" w:rsidP="00155460">
      <w:pPr>
        <w:ind w:left="360"/>
      </w:pPr>
    </w:p>
    <w:p w14:paraId="0CF879DC" w14:textId="407B0A3F" w:rsidR="00155460" w:rsidRDefault="00155460" w:rsidP="00155460">
      <w:pPr>
        <w:ind w:left="360"/>
      </w:pPr>
      <w:r>
        <w:tab/>
        <w:t xml:space="preserve">If a student wants to succeed, </w:t>
      </w:r>
      <w:r w:rsidRPr="00FE6054">
        <w:rPr>
          <w:i/>
          <w:iCs/>
        </w:rPr>
        <w:t>they</w:t>
      </w:r>
      <w:r>
        <w:t xml:space="preserve"> must study.</w:t>
      </w:r>
    </w:p>
    <w:p w14:paraId="4B44F318" w14:textId="2F2EC240" w:rsidR="00155460" w:rsidRDefault="00155460" w:rsidP="00155460">
      <w:pPr>
        <w:ind w:left="360"/>
      </w:pPr>
    </w:p>
    <w:p w14:paraId="2FDEE59F" w14:textId="0C7A9707" w:rsidR="00155460" w:rsidRDefault="00155460" w:rsidP="00155460">
      <w:pPr>
        <w:ind w:left="360"/>
      </w:pPr>
      <w:r>
        <w:t>Whichever strategy you choose, be consistent throughout your paper.</w:t>
      </w:r>
    </w:p>
    <w:p w14:paraId="5600959F" w14:textId="6F78E9CC" w:rsidR="00F762B5" w:rsidRDefault="00F762B5" w:rsidP="00155460">
      <w:pPr>
        <w:ind w:left="360"/>
      </w:pPr>
    </w:p>
    <w:p w14:paraId="0CAE2CAD" w14:textId="27B04E64" w:rsidR="00F762B5" w:rsidRDefault="00F762B5" w:rsidP="00155460">
      <w:pPr>
        <w:ind w:left="360"/>
      </w:pPr>
      <w:r>
        <w:rPr>
          <w:b/>
          <w:bCs/>
        </w:rPr>
        <w:t xml:space="preserve">Avoid gender-specific vocabulary when possible: </w:t>
      </w:r>
      <w:r>
        <w:t>Words like “mankind” or “freshman” carry implications. Try inclusionary alternatives like “humanity” or “first-year.”</w:t>
      </w:r>
    </w:p>
    <w:p w14:paraId="31BC280C" w14:textId="1A592669" w:rsidR="00F762B5" w:rsidRDefault="00F762B5" w:rsidP="00155460">
      <w:pPr>
        <w:ind w:left="360"/>
      </w:pPr>
    </w:p>
    <w:p w14:paraId="692339A6" w14:textId="25FEEE10" w:rsidR="00F762B5" w:rsidRDefault="00F762B5" w:rsidP="00155460">
      <w:pPr>
        <w:ind w:left="360"/>
      </w:pPr>
      <w:r>
        <w:rPr>
          <w:b/>
          <w:bCs/>
        </w:rPr>
        <w:t xml:space="preserve">Avoid stereotypical gendered characteristics: </w:t>
      </w:r>
      <w:r w:rsidRPr="00F762B5">
        <w:t xml:space="preserve">It is important not to imply in your writing certain stereotypes associated </w:t>
      </w:r>
      <w:r w:rsidR="00C74948">
        <w:t xml:space="preserve">with gender, for instance, that </w:t>
      </w:r>
      <w:r w:rsidR="00FE6054">
        <w:t xml:space="preserve">women are </w:t>
      </w:r>
      <w:r w:rsidR="00C74948">
        <w:t xml:space="preserve">more </w:t>
      </w:r>
      <w:r w:rsidR="00FE6054">
        <w:t xml:space="preserve">passive and men </w:t>
      </w:r>
      <w:r w:rsidR="00C74948">
        <w:t xml:space="preserve">more active. </w:t>
      </w:r>
      <w:r>
        <w:t>In addi</w:t>
      </w:r>
      <w:r w:rsidR="00C74948">
        <w:t>tion to being discriminatory, this writing</w:t>
      </w:r>
      <w:r>
        <w:t xml:space="preserve"> supports the gender binary and excludes gender-nonconform</w:t>
      </w:r>
      <w:r w:rsidR="002D34D3">
        <w:t>i</w:t>
      </w:r>
      <w:r>
        <w:t xml:space="preserve">ng </w:t>
      </w:r>
      <w:r w:rsidR="00C74948">
        <w:t>people.</w:t>
      </w:r>
    </w:p>
    <w:p w14:paraId="188F6C2C" w14:textId="5135A0C9" w:rsidR="00F762B5" w:rsidRDefault="00F762B5" w:rsidP="00155460">
      <w:pPr>
        <w:ind w:left="360"/>
      </w:pPr>
    </w:p>
    <w:p w14:paraId="11661FD4" w14:textId="4D9C6FF6" w:rsidR="00F762B5" w:rsidRDefault="00F762B5" w:rsidP="00155460">
      <w:pPr>
        <w:ind w:left="360"/>
      </w:pPr>
      <w:r>
        <w:rPr>
          <w:b/>
          <w:bCs/>
        </w:rPr>
        <w:t>Avoid misgendering:</w:t>
      </w:r>
      <w:r>
        <w:t xml:space="preserve"> Always use a person’s preferred pronouns, whether they a</w:t>
      </w:r>
      <w:r w:rsidR="00FE6054">
        <w:t>s</w:t>
      </w:r>
      <w:r>
        <w:t>c</w:t>
      </w:r>
      <w:r w:rsidR="00FE6054">
        <w:t>ribe</w:t>
      </w:r>
      <w:r>
        <w:t xml:space="preserve"> to the gender binary </w:t>
      </w:r>
      <w:r w:rsidR="00C74948">
        <w:t>(</w:t>
      </w:r>
      <w:r>
        <w:t>“he/him” or “she/her”) or choose to identify by neutral or nonbinary pronouns such as “they/them,” “</w:t>
      </w:r>
      <w:proofErr w:type="spellStart"/>
      <w:r>
        <w:t>ze</w:t>
      </w:r>
      <w:proofErr w:type="spellEnd"/>
      <w:r>
        <w:t>/</w:t>
      </w:r>
      <w:proofErr w:type="spellStart"/>
      <w:r>
        <w:t>zir</w:t>
      </w:r>
      <w:proofErr w:type="spellEnd"/>
      <w:r>
        <w:t>,” or “</w:t>
      </w:r>
      <w:proofErr w:type="spellStart"/>
      <w:r>
        <w:t>hir</w:t>
      </w:r>
      <w:proofErr w:type="spellEnd"/>
      <w:r>
        <w:t xml:space="preserve">.” Intentionally </w:t>
      </w:r>
      <w:proofErr w:type="spellStart"/>
      <w:r w:rsidR="00C74948">
        <w:t>misgendering</w:t>
      </w:r>
      <w:proofErr w:type="spellEnd"/>
      <w:r w:rsidR="00C74948">
        <w:t xml:space="preserve"> or misnaming </w:t>
      </w:r>
      <w:proofErr w:type="gramStart"/>
      <w:r w:rsidR="00C74948">
        <w:t>trans</w:t>
      </w:r>
      <w:proofErr w:type="gramEnd"/>
      <w:r>
        <w:t>, intersex, or gender-nonconforming persons constitutes harassment.</w:t>
      </w:r>
    </w:p>
    <w:p w14:paraId="07ED2A07" w14:textId="27C4EF55" w:rsidR="002D34D3" w:rsidRDefault="002D34D3" w:rsidP="00155460">
      <w:pPr>
        <w:ind w:left="360"/>
      </w:pPr>
    </w:p>
    <w:p w14:paraId="7DF9DF21" w14:textId="771A5F68" w:rsidR="00F762B5" w:rsidRDefault="00F762B5" w:rsidP="00155460">
      <w:pPr>
        <w:ind w:left="360"/>
        <w:rPr>
          <w:sz w:val="18"/>
          <w:szCs w:val="18"/>
        </w:rPr>
      </w:pPr>
      <w:r>
        <w:rPr>
          <w:sz w:val="18"/>
          <w:szCs w:val="18"/>
        </w:rPr>
        <w:t>Adap</w:t>
      </w:r>
      <w:r w:rsidR="00FE6054">
        <w:rPr>
          <w:sz w:val="18"/>
          <w:szCs w:val="18"/>
        </w:rPr>
        <w:t>t</w:t>
      </w:r>
      <w:r>
        <w:rPr>
          <w:sz w:val="18"/>
          <w:szCs w:val="18"/>
        </w:rPr>
        <w:t xml:space="preserve">ed from </w:t>
      </w:r>
      <w:hyperlink r:id="rId7" w:history="1">
        <w:r w:rsidRPr="002D34D3">
          <w:rPr>
            <w:rStyle w:val="Hyperlink"/>
            <w:sz w:val="18"/>
            <w:szCs w:val="18"/>
          </w:rPr>
          <w:t xml:space="preserve">NCTE’s </w:t>
        </w:r>
        <w:r w:rsidR="002D34D3" w:rsidRPr="002D34D3">
          <w:rPr>
            <w:rStyle w:val="Hyperlink"/>
            <w:sz w:val="18"/>
            <w:szCs w:val="18"/>
          </w:rPr>
          <w:t>Statement on Gender and Language</w:t>
        </w:r>
      </w:hyperlink>
      <w:r>
        <w:rPr>
          <w:sz w:val="18"/>
          <w:szCs w:val="18"/>
        </w:rPr>
        <w:t>.</w:t>
      </w:r>
    </w:p>
    <w:p w14:paraId="7D9B8237" w14:textId="51095514" w:rsidR="008618BC" w:rsidRPr="008618BC" w:rsidRDefault="008618BC" w:rsidP="008618BC">
      <w:bookmarkStart w:id="0" w:name="_GoBack"/>
      <w:bookmarkEnd w:id="0"/>
    </w:p>
    <w:sectPr w:rsidR="008618BC" w:rsidRPr="008618BC" w:rsidSect="00F455F1">
      <w:footerReference w:type="default" r:id="rId8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E000" w14:textId="77777777" w:rsidR="00F455F1" w:rsidRDefault="00F455F1" w:rsidP="00F455F1">
      <w:r>
        <w:separator/>
      </w:r>
    </w:p>
  </w:endnote>
  <w:endnote w:type="continuationSeparator" w:id="0">
    <w:p w14:paraId="38888E2D" w14:textId="77777777" w:rsidR="00F455F1" w:rsidRDefault="00F455F1" w:rsidP="00F4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479A" w14:textId="6A6C88A0" w:rsidR="00F455F1" w:rsidRPr="00C74948" w:rsidRDefault="00F455F1" w:rsidP="00F455F1">
    <w:pPr>
      <w:ind w:left="360"/>
      <w:rPr>
        <w:sz w:val="20"/>
        <w:szCs w:val="20"/>
      </w:rPr>
    </w:pPr>
    <w:r w:rsidRPr="00C74948">
      <w:rPr>
        <w:sz w:val="20"/>
        <w:szCs w:val="20"/>
      </w:rPr>
      <w:t>Purchase College Learning Center</w:t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74948">
      <w:rPr>
        <w:sz w:val="20"/>
        <w:szCs w:val="20"/>
      </w:rPr>
      <w:t>Learning@purchase.edu</w:t>
    </w:r>
  </w:p>
  <w:p w14:paraId="13E3A9CD" w14:textId="77777777" w:rsidR="00F455F1" w:rsidRPr="00C74948" w:rsidRDefault="00F455F1" w:rsidP="00F455F1">
    <w:pPr>
      <w:ind w:left="360"/>
      <w:rPr>
        <w:sz w:val="20"/>
        <w:szCs w:val="20"/>
      </w:rPr>
    </w:pPr>
    <w:r w:rsidRPr="00C74948">
      <w:rPr>
        <w:sz w:val="20"/>
        <w:szCs w:val="20"/>
      </w:rPr>
      <w:t>Library 0009 (Lower Level)</w:t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  <w:t>Instagram: @</w:t>
    </w:r>
    <w:proofErr w:type="spellStart"/>
    <w:r w:rsidRPr="00C74948">
      <w:rPr>
        <w:sz w:val="20"/>
        <w:szCs w:val="20"/>
      </w:rPr>
      <w:t>SUNYpurchaselearning</w:t>
    </w:r>
    <w:proofErr w:type="spellEnd"/>
  </w:p>
  <w:p w14:paraId="1FF5E28F" w14:textId="77777777" w:rsidR="00F455F1" w:rsidRPr="00C74948" w:rsidRDefault="00F455F1" w:rsidP="00F455F1">
    <w:pPr>
      <w:ind w:left="360"/>
      <w:rPr>
        <w:sz w:val="20"/>
        <w:szCs w:val="20"/>
      </w:rPr>
    </w:pPr>
    <w:r w:rsidRPr="00C74948">
      <w:rPr>
        <w:sz w:val="20"/>
        <w:szCs w:val="20"/>
      </w:rPr>
      <w:t>X3977</w:t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</w:r>
    <w:r w:rsidRPr="00C74948">
      <w:rPr>
        <w:sz w:val="20"/>
        <w:szCs w:val="20"/>
      </w:rPr>
      <w:tab/>
      <w:t>Facebook: @</w:t>
    </w:r>
    <w:proofErr w:type="spellStart"/>
    <w:r w:rsidRPr="00C74948">
      <w:rPr>
        <w:sz w:val="20"/>
        <w:szCs w:val="20"/>
      </w:rPr>
      <w:t>SUNYpurchaseLC</w:t>
    </w:r>
    <w:proofErr w:type="spellEnd"/>
  </w:p>
  <w:p w14:paraId="23260B94" w14:textId="5992A90F" w:rsidR="00F455F1" w:rsidRDefault="00F455F1">
    <w:pPr>
      <w:pStyle w:val="Footer"/>
    </w:pPr>
  </w:p>
  <w:p w14:paraId="3950FAA2" w14:textId="77777777" w:rsidR="00F455F1" w:rsidRDefault="00F4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6FC0" w14:textId="77777777" w:rsidR="00F455F1" w:rsidRDefault="00F455F1" w:rsidP="00F455F1">
      <w:r>
        <w:separator/>
      </w:r>
    </w:p>
  </w:footnote>
  <w:footnote w:type="continuationSeparator" w:id="0">
    <w:p w14:paraId="593E7B26" w14:textId="77777777" w:rsidR="00F455F1" w:rsidRDefault="00F455F1" w:rsidP="00F4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FC"/>
    <w:multiLevelType w:val="hybridMultilevel"/>
    <w:tmpl w:val="569642FE"/>
    <w:lvl w:ilvl="0" w:tplc="23EED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43569"/>
    <w:multiLevelType w:val="hybridMultilevel"/>
    <w:tmpl w:val="9968C746"/>
    <w:lvl w:ilvl="0" w:tplc="65B6778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3F40"/>
    <w:multiLevelType w:val="hybridMultilevel"/>
    <w:tmpl w:val="3C285590"/>
    <w:lvl w:ilvl="0" w:tplc="F9528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2BFD"/>
    <w:multiLevelType w:val="hybridMultilevel"/>
    <w:tmpl w:val="8CFC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1DE2"/>
    <w:multiLevelType w:val="hybridMultilevel"/>
    <w:tmpl w:val="2E2CB1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8161E0"/>
    <w:multiLevelType w:val="hybridMultilevel"/>
    <w:tmpl w:val="556686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F298A"/>
    <w:multiLevelType w:val="hybridMultilevel"/>
    <w:tmpl w:val="EC202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F049C"/>
    <w:multiLevelType w:val="hybridMultilevel"/>
    <w:tmpl w:val="DA245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49B0"/>
    <w:multiLevelType w:val="hybridMultilevel"/>
    <w:tmpl w:val="84AC5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BC"/>
    <w:rsid w:val="00155460"/>
    <w:rsid w:val="002D34D3"/>
    <w:rsid w:val="00352B29"/>
    <w:rsid w:val="003C0980"/>
    <w:rsid w:val="007102DE"/>
    <w:rsid w:val="00726B1A"/>
    <w:rsid w:val="00832BBB"/>
    <w:rsid w:val="00846FE8"/>
    <w:rsid w:val="008618BC"/>
    <w:rsid w:val="009308C5"/>
    <w:rsid w:val="00BC7BBA"/>
    <w:rsid w:val="00BE18EB"/>
    <w:rsid w:val="00C74948"/>
    <w:rsid w:val="00CE217E"/>
    <w:rsid w:val="00D04391"/>
    <w:rsid w:val="00D71FA4"/>
    <w:rsid w:val="00E81A0D"/>
    <w:rsid w:val="00F455F1"/>
    <w:rsid w:val="00F762B5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AB0"/>
  <w15:chartTrackingRefBased/>
  <w15:docId w15:val="{7FC5C3E7-9325-1A40-B881-5293A7F1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4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9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F1"/>
  </w:style>
  <w:style w:type="paragraph" w:styleId="Footer">
    <w:name w:val="footer"/>
    <w:basedOn w:val="Normal"/>
    <w:link w:val="FooterChar"/>
    <w:uiPriority w:val="99"/>
    <w:unhideWhenUsed/>
    <w:rsid w:val="00F45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te.org/statement/genderfairuseofl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Hockstein</dc:creator>
  <cp:keywords/>
  <dc:description/>
  <cp:lastModifiedBy>Hockstein, Lisa</cp:lastModifiedBy>
  <cp:revision>4</cp:revision>
  <cp:lastPrinted>2020-01-06T21:29:00Z</cp:lastPrinted>
  <dcterms:created xsi:type="dcterms:W3CDTF">2020-01-06T21:27:00Z</dcterms:created>
  <dcterms:modified xsi:type="dcterms:W3CDTF">2020-01-09T18:01:00Z</dcterms:modified>
</cp:coreProperties>
</file>